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52CF" w14:textId="77777777" w:rsidR="005A0F26" w:rsidRPr="004F33F2" w:rsidRDefault="00606595" w:rsidP="004341D7">
      <w:pPr>
        <w:rPr>
          <w:rFonts w:ascii="Arial Narrow" w:hAnsi="Arial Narrow"/>
          <w:b/>
          <w:sz w:val="22"/>
          <w:szCs w:val="22"/>
        </w:rPr>
      </w:pPr>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4824D7B9" w:rsidR="00161F68" w:rsidRPr="00161F68" w:rsidRDefault="00161F68" w:rsidP="00355072">
            <w:pPr>
              <w:tabs>
                <w:tab w:val="center" w:pos="4498"/>
                <w:tab w:val="left" w:pos="6390"/>
              </w:tabs>
              <w:jc w:val="center"/>
            </w:pPr>
            <w:bookmarkStart w:id="0" w:name="_GoBack"/>
            <w:r w:rsidRPr="00161F68">
              <w:t>WSTĘP</w:t>
            </w:r>
            <w:bookmarkEnd w:id="0"/>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4054B5">
      <w:pPr>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77777777" w:rsidR="005A0F26" w:rsidRPr="004F33F2" w:rsidRDefault="005A0F26" w:rsidP="004054B5">
      <w:pPr>
        <w:numPr>
          <w:ilvl w:val="0"/>
          <w:numId w:val="10"/>
        </w:numPr>
        <w:jc w:val="both"/>
        <w:rPr>
          <w:rFonts w:ascii="Arial Narrow" w:hAnsi="Arial Narrow" w:cs="Arial"/>
          <w:sz w:val="22"/>
        </w:rPr>
      </w:pPr>
      <w:r w:rsidRPr="004F33F2">
        <w:rPr>
          <w:rFonts w:ascii="Arial Narrow" w:hAnsi="Arial Narrow" w:cs="Arial"/>
          <w:sz w:val="22"/>
        </w:rPr>
        <w:t xml:space="preserve">Wytyczne Ministra Infrastruktury i Rozwoju w zakresie trybów wyboru projektów na lata 2014-2020 </w:t>
      </w:r>
      <w:r w:rsidR="00BF6FCA" w:rsidRPr="004F33F2">
        <w:rPr>
          <w:rFonts w:ascii="Arial Narrow" w:hAnsi="Arial Narrow" w:cs="Arial"/>
          <w:sz w:val="22"/>
        </w:rPr>
        <w:br/>
      </w:r>
      <w:r w:rsidRPr="004F33F2">
        <w:rPr>
          <w:rFonts w:ascii="Arial Narrow" w:hAnsi="Arial Narrow" w:cs="Arial"/>
          <w:sz w:val="22"/>
        </w:rPr>
        <w:t xml:space="preserve">z dnia 31 marca 2015 r.; </w:t>
      </w:r>
    </w:p>
    <w:p w14:paraId="19B34F7F" w14:textId="77777777"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0EFD7B94" w14:textId="77777777"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Wytyczne Ministra Infrastruktury i Rozwoju w zakresie monitorowania postępu rzeczowego realizacji programów operacyjnych na lata 2014-2020 z dnia 22 kwietnia 2015 r.;</w:t>
      </w:r>
    </w:p>
    <w:p w14:paraId="2D7A9856" w14:textId="77777777" w:rsidR="005A0F26" w:rsidRPr="004F33F2" w:rsidRDefault="005A0F26" w:rsidP="004054B5">
      <w:pPr>
        <w:numPr>
          <w:ilvl w:val="0"/>
          <w:numId w:val="10"/>
        </w:numPr>
        <w:jc w:val="both"/>
        <w:rPr>
          <w:rFonts w:ascii="Arial Narrow" w:hAnsi="Arial Narrow"/>
          <w:sz w:val="22"/>
          <w:szCs w:val="22"/>
        </w:rPr>
      </w:pPr>
      <w:r w:rsidRPr="004F33F2">
        <w:rPr>
          <w:rFonts w:ascii="Arial Narrow" w:hAnsi="Arial Narrow" w:cs="Arial"/>
          <w:sz w:val="22"/>
        </w:rPr>
        <w:t>Wytyczne Ministra Infrastruktury i Rozwoju w zakresie zagadnień związanych z przygotowaniem projektów inwestycyjnych, w tym projektów generujących dochód i projektów hybrydowych na lata 2014-2020 z dnia 18 marca 2015 r;</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12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4D09404C" w14:textId="77777777" w:rsidR="001937B9" w:rsidRPr="004F33F2" w:rsidRDefault="001937B9" w:rsidP="004054B5">
      <w:pPr>
        <w:jc w:val="both"/>
        <w:rPr>
          <w:rFonts w:ascii="Arial Narrow" w:hAnsi="Arial Narrow"/>
          <w:sz w:val="22"/>
          <w:szCs w:val="22"/>
        </w:rPr>
      </w:pP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36FE3446"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E3724D">
        <w:tc>
          <w:tcPr>
            <w:tcW w:w="9212" w:type="dxa"/>
            <w:shd w:val="clear" w:color="auto" w:fill="808080"/>
          </w:tcPr>
          <w:p w14:paraId="17245B22" w14:textId="77777777" w:rsidR="00DB7A8E" w:rsidRPr="004F33F2" w:rsidRDefault="00DB7A8E" w:rsidP="00E3724D">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tbl>
      <w:tblPr>
        <w:tblpPr w:leftFromText="141" w:rightFromText="141" w:vertAnchor="page" w:horzAnchor="margin" w:tblpY="128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B7A8E" w:rsidRPr="004F33F2" w14:paraId="2F81024E" w14:textId="77777777" w:rsidTr="00DB7A8E">
        <w:trPr>
          <w:trHeight w:val="559"/>
        </w:trPr>
        <w:tc>
          <w:tcPr>
            <w:tcW w:w="9180" w:type="dxa"/>
            <w:gridSpan w:val="2"/>
            <w:shd w:val="clear" w:color="auto" w:fill="808080"/>
            <w:vAlign w:val="center"/>
          </w:tcPr>
          <w:p w14:paraId="420AB2FA" w14:textId="77777777" w:rsidR="00DB7A8E" w:rsidRPr="00325311" w:rsidRDefault="00DB7A8E" w:rsidP="00DB7A8E">
            <w:pPr>
              <w:jc w:val="center"/>
              <w:rPr>
                <w:rFonts w:ascii="Arial Narrow" w:hAnsi="Arial Narrow"/>
              </w:rPr>
            </w:pPr>
            <w:r w:rsidRPr="00176DCA">
              <w:rPr>
                <w:rFonts w:ascii="Arial Narrow" w:hAnsi="Arial Narrow"/>
                <w:b/>
                <w:sz w:val="22"/>
                <w:szCs w:val="22"/>
              </w:rPr>
              <w:t>I. STATUS WNIOSKU</w:t>
            </w:r>
          </w:p>
        </w:tc>
      </w:tr>
      <w:tr w:rsidR="00DB7A8E" w:rsidRPr="004F33F2" w14:paraId="33E74037" w14:textId="77777777" w:rsidTr="00DB7A8E">
        <w:trPr>
          <w:trHeight w:val="319"/>
        </w:trPr>
        <w:tc>
          <w:tcPr>
            <w:tcW w:w="2127" w:type="dxa"/>
            <w:shd w:val="clear" w:color="auto" w:fill="C0C0C0"/>
            <w:vAlign w:val="center"/>
          </w:tcPr>
          <w:p w14:paraId="034229E1" w14:textId="77777777" w:rsidR="00DB7A8E" w:rsidRPr="004F33F2" w:rsidRDefault="00DB7A8E" w:rsidP="00DB7A8E">
            <w:pPr>
              <w:ind w:right="-108"/>
              <w:jc w:val="center"/>
              <w:rPr>
                <w:rFonts w:ascii="Arial Narrow" w:hAnsi="Arial Narrow"/>
                <w:lang w:val="de-DE"/>
              </w:rPr>
            </w:pPr>
            <w:r w:rsidRPr="004F33F2">
              <w:rPr>
                <w:rFonts w:ascii="Arial Narrow" w:hAnsi="Arial Narrow"/>
                <w:b/>
                <w:sz w:val="22"/>
                <w:szCs w:val="22"/>
              </w:rPr>
              <w:lastRenderedPageBreak/>
              <w:t>Data wpływu wniosku</w:t>
            </w:r>
          </w:p>
        </w:tc>
        <w:tc>
          <w:tcPr>
            <w:tcW w:w="7053" w:type="dxa"/>
            <w:vAlign w:val="center"/>
          </w:tcPr>
          <w:p w14:paraId="1C4D516A" w14:textId="77777777" w:rsidR="00DB7A8E" w:rsidRPr="002262E8" w:rsidRDefault="00DB7A8E" w:rsidP="00DB7A8E">
            <w:pPr>
              <w:rPr>
                <w:rFonts w:ascii="Arial Narrow" w:hAnsi="Arial Narrow"/>
              </w:rPr>
            </w:pPr>
          </w:p>
          <w:p w14:paraId="5D391D95"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330D84F" w14:textId="77777777" w:rsidR="00DB7A8E" w:rsidRPr="00CA6EEA" w:rsidRDefault="00DB7A8E" w:rsidP="00DB7A8E">
            <w:pPr>
              <w:rPr>
                <w:rFonts w:ascii="Arial Narrow" w:hAnsi="Arial Narrow"/>
              </w:rPr>
            </w:pPr>
          </w:p>
        </w:tc>
      </w:tr>
      <w:tr w:rsidR="00DB7A8E" w:rsidRPr="004F33F2" w14:paraId="28C94292" w14:textId="77777777" w:rsidTr="00DB7A8E">
        <w:trPr>
          <w:trHeight w:val="796"/>
        </w:trPr>
        <w:tc>
          <w:tcPr>
            <w:tcW w:w="2127" w:type="dxa"/>
            <w:shd w:val="clear" w:color="auto" w:fill="C0C0C0"/>
            <w:vAlign w:val="center"/>
          </w:tcPr>
          <w:p w14:paraId="49975F03" w14:textId="77777777" w:rsidR="00DB7A8E" w:rsidRPr="004F33F2" w:rsidRDefault="00DB7A8E" w:rsidP="00DB7A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4F24D88C" w14:textId="77777777" w:rsidR="00DB7A8E" w:rsidRPr="002262E8" w:rsidRDefault="00DB7A8E" w:rsidP="00DB7A8E">
            <w:pPr>
              <w:rPr>
                <w:rFonts w:ascii="Arial Narrow" w:hAnsi="Arial Narrow"/>
              </w:rPr>
            </w:pPr>
          </w:p>
          <w:p w14:paraId="53944042"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972162A" w14:textId="77777777" w:rsidR="00DB7A8E" w:rsidRPr="00CA6EEA" w:rsidRDefault="00DB7A8E" w:rsidP="00DB7A8E">
            <w:pPr>
              <w:rPr>
                <w:rFonts w:ascii="Arial Narrow" w:hAnsi="Arial Narrow"/>
              </w:rPr>
            </w:pPr>
          </w:p>
        </w:tc>
      </w:tr>
    </w:tbl>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E3724D">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E3724D">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27570C2A" w:rsidR="005A0F26" w:rsidRPr="004F33F2" w:rsidRDefault="0077374C" w:rsidP="0070160B">
      <w:pPr>
        <w:jc w:val="both"/>
        <w:rPr>
          <w:rFonts w:ascii="Arial Narrow" w:hAnsi="Arial Narrow"/>
          <w:sz w:val="22"/>
          <w:szCs w:val="22"/>
        </w:rPr>
      </w:pPr>
      <w:r w:rsidRPr="0077374C">
        <w:rPr>
          <w:rFonts w:ascii="Arial Narrow" w:hAnsi="Arial Narrow"/>
          <w:sz w:val="22"/>
          <w:szCs w:val="22"/>
        </w:rPr>
        <w:t>Należy w wpisać numer naboru wskazany w Regulaminie konkursu (RPLD.0</w:t>
      </w:r>
      <w:r>
        <w:rPr>
          <w:rFonts w:ascii="Arial Narrow" w:hAnsi="Arial Narrow"/>
          <w:sz w:val="22"/>
          <w:szCs w:val="22"/>
        </w:rPr>
        <w:t>5</w:t>
      </w:r>
      <w:r w:rsidRPr="0077374C">
        <w:rPr>
          <w:rFonts w:ascii="Arial Narrow" w:hAnsi="Arial Narrow"/>
          <w:sz w:val="22"/>
          <w:szCs w:val="22"/>
        </w:rPr>
        <w:t>.01.0</w:t>
      </w:r>
      <w:r>
        <w:rPr>
          <w:rFonts w:ascii="Arial Narrow" w:hAnsi="Arial Narrow"/>
          <w:sz w:val="22"/>
          <w:szCs w:val="22"/>
        </w:rPr>
        <w:t>1</w:t>
      </w:r>
      <w:r w:rsidRPr="0077374C">
        <w:rPr>
          <w:rFonts w:ascii="Arial Narrow" w:hAnsi="Arial Narrow"/>
          <w:sz w:val="22"/>
          <w:szCs w:val="22"/>
        </w:rPr>
        <w:t>-IZ.00-10-001/17)</w:t>
      </w:r>
      <w:r w:rsidR="005A0F26" w:rsidRPr="004F33F2">
        <w:rPr>
          <w:rFonts w:ascii="Arial Narrow" w:hAnsi="Arial Narrow"/>
          <w:sz w:val="22"/>
          <w:szCs w:val="22"/>
        </w:rPr>
        <w:t>.</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lastRenderedPageBreak/>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5391D1C5" w14:textId="77777777" w:rsidR="0077374C" w:rsidRDefault="0077374C" w:rsidP="004054B5">
      <w:pPr>
        <w:jc w:val="both"/>
        <w:rPr>
          <w:rFonts w:ascii="Arial Narrow" w:hAnsi="Arial Narrow"/>
          <w:b/>
          <w:sz w:val="22"/>
          <w:szCs w:val="22"/>
        </w:rPr>
      </w:pPr>
    </w:p>
    <w:p w14:paraId="24086F49" w14:textId="77777777" w:rsidR="0077374C" w:rsidRDefault="0077374C" w:rsidP="004054B5">
      <w:pPr>
        <w:jc w:val="both"/>
        <w:rPr>
          <w:rFonts w:ascii="Arial Narrow" w:hAnsi="Arial Narrow"/>
          <w:b/>
          <w:sz w:val="22"/>
          <w:szCs w:val="22"/>
        </w:rPr>
      </w:pPr>
    </w:p>
    <w:p w14:paraId="23DDF67C" w14:textId="77777777" w:rsidR="0077374C" w:rsidRDefault="0077374C" w:rsidP="004054B5">
      <w:pPr>
        <w:jc w:val="both"/>
        <w:rPr>
          <w:rFonts w:ascii="Arial Narrow" w:hAnsi="Arial Narrow"/>
          <w:b/>
          <w:sz w:val="22"/>
          <w:szCs w:val="22"/>
        </w:rPr>
      </w:pPr>
    </w:p>
    <w:p w14:paraId="1F162B29" w14:textId="006E55CB"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01AC7C78" w:rsidR="00862398" w:rsidRPr="0057580E"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V.1.1 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77BDCCD7" w14:textId="77777777" w:rsidR="00862398" w:rsidRPr="008F6954" w:rsidRDefault="00862398" w:rsidP="00862398">
      <w:pPr>
        <w:jc w:val="both"/>
        <w:rPr>
          <w:rFonts w:ascii="Arial Narrow" w:hAnsi="Arial Narrow"/>
          <w:sz w:val="22"/>
          <w:szCs w:val="22"/>
        </w:rPr>
      </w:pPr>
      <w:r w:rsidRPr="008F6954">
        <w:rPr>
          <w:rFonts w:ascii="Arial Narrow" w:hAnsi="Arial Narrow"/>
          <w:sz w:val="22"/>
          <w:szCs w:val="22"/>
        </w:rPr>
        <w:t>087 - Środki w zakresie dostosowania do zmiany klimatu oraz ochrona przed zagrożeniami związanymi z klimatem, np. erozją, pożarami, powodziami, burzami, suszami, oraz zarządzanie ryzykiem w tym zakresie, w tym zwiększanie świadomości, ochrona ludności oraz systemy i infrastruktura do celów zarządzania klęskami i katastrofami</w:t>
      </w:r>
    </w:p>
    <w:p w14:paraId="476849AB" w14:textId="77777777" w:rsidR="00862398" w:rsidRPr="0057580E" w:rsidRDefault="00862398" w:rsidP="00862398">
      <w:pPr>
        <w:jc w:val="both"/>
        <w:rPr>
          <w:rFonts w:ascii="Arial Narrow" w:hAnsi="Arial Narrow"/>
          <w:sz w:val="22"/>
          <w:szCs w:val="22"/>
        </w:rPr>
      </w:pPr>
      <w:r w:rsidRPr="003A234F">
        <w:rPr>
          <w:rFonts w:ascii="Arial Narrow" w:hAnsi="Arial Narrow"/>
          <w:sz w:val="22"/>
          <w:szCs w:val="22"/>
        </w:rPr>
        <w:t>088 - Zapobieganie zagrożeniom naturalnym niezwiązanym z klimatem (np. trzęsieniami ziemi) oraz wywołanym działalnoś</w:t>
      </w:r>
      <w:r w:rsidRPr="0057580E">
        <w:rPr>
          <w:rFonts w:ascii="Arial Narrow" w:hAnsi="Arial Narrow"/>
          <w:sz w:val="22"/>
          <w:szCs w:val="22"/>
        </w:rPr>
        <w:t>cią człowieka, np. awariami przemysłowymi, oraz zarządzanie ryzykiem w tym zakresie, w tym zwiększanie świadomości, ochrona ludności oraz systemy i infrastruktura do celów zarządzania klęskami i katastrofami</w:t>
      </w:r>
    </w:p>
    <w:p w14:paraId="293280B5" w14:textId="06DEFED0" w:rsidR="00862398" w:rsidRPr="00862398" w:rsidRDefault="00862398" w:rsidP="00862398">
      <w:pPr>
        <w:jc w:val="both"/>
        <w:rPr>
          <w:rFonts w:ascii="Arial Narrow" w:hAnsi="Arial Narrow"/>
          <w:sz w:val="22"/>
          <w:szCs w:val="22"/>
        </w:rPr>
      </w:pPr>
      <w:r w:rsidRPr="008F6954">
        <w:rPr>
          <w:rFonts w:ascii="Arial Narrow" w:hAnsi="Arial Narrow"/>
          <w:sz w:val="22"/>
          <w:szCs w:val="22"/>
        </w:rPr>
        <w:t>101 - Finansowanie krzyżowe w ramach EFRR (wsparcie dla przedsięwzięć typowych dla EFS, koniecznych dla zadowalającego wdrożenia części przedsięwzięć wiązanej bezpośrednio z EFRR)</w:t>
      </w:r>
    </w:p>
    <w:p w14:paraId="64E6B2C3" w14:textId="77777777" w:rsidR="00862398" w:rsidRDefault="00862398">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lastRenderedPageBreak/>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78FB1"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w:t>
      </w:r>
      <w:r w:rsidRPr="004F33F2">
        <w:rPr>
          <w:rFonts w:ascii="Arial Narrow" w:hAnsi="Arial Narrow"/>
          <w:sz w:val="22"/>
          <w:szCs w:val="22"/>
        </w:rPr>
        <w:lastRenderedPageBreak/>
        <w:t xml:space="preserve">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8D32B"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9ABF"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4054B5">
      <w:pPr>
        <w:ind w:left="539" w:hanging="539"/>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25844"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8F018"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0B8846EA" w14:textId="77777777" w:rsidR="00BB6966" w:rsidRPr="004F33F2" w:rsidRDefault="00BB6966" w:rsidP="004054B5">
      <w:pPr>
        <w:autoSpaceDE w:val="0"/>
        <w:autoSpaceDN w:val="0"/>
        <w:adjustRightInd w:val="0"/>
        <w:jc w:val="both"/>
        <w:rPr>
          <w:rFonts w:ascii="Arial Narrow" w:hAnsi="Arial Narrow" w:cs="Arial"/>
          <w:b/>
          <w:sz w:val="22"/>
          <w:szCs w:val="22"/>
        </w:rPr>
      </w:pPr>
    </w:p>
    <w:p w14:paraId="0B0FE45C" w14:textId="6C4A4DCC" w:rsidR="005A0F26" w:rsidRPr="004F33F2"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B665"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3429B"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FE520D">
      <w:pPr>
        <w:pStyle w:val="Akapitzlist"/>
        <w:numPr>
          <w:ilvl w:val="0"/>
          <w:numId w:val="9"/>
        </w:numPr>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4F33F2" w:rsidRDefault="005A0F26">
      <w:pPr>
        <w:pStyle w:val="Akapitzlist"/>
        <w:numPr>
          <w:ilvl w:val="0"/>
          <w:numId w:val="9"/>
        </w:numPr>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40355A14" w14:textId="77777777" w:rsidR="005A0F26" w:rsidRPr="004F33F2" w:rsidRDefault="005A0F26">
      <w:pPr>
        <w:pStyle w:val="Akapitzlist"/>
        <w:numPr>
          <w:ilvl w:val="0"/>
          <w:numId w:val="9"/>
        </w:numPr>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4E7B537E" w14:textId="0EBEA361" w:rsidR="005A0F26" w:rsidRPr="004F33F2" w:rsidRDefault="005A0F26">
      <w:pPr>
        <w:autoSpaceDE w:val="0"/>
        <w:autoSpaceDN w:val="0"/>
        <w:adjustRightInd w:val="0"/>
        <w:jc w:val="both"/>
        <w:rPr>
          <w:rFonts w:ascii="Arial Narrow" w:hAnsi="Arial Narrow" w:cs="Arial"/>
          <w:b/>
          <w:sz w:val="22"/>
          <w:szCs w:val="22"/>
        </w:rPr>
      </w:pP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0FFA"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0187"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13C08"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08847"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50DCF"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220EFDF6" w:rsidR="009B4B7F" w:rsidRPr="004F33F2"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Pr="008D5991" w:rsidRDefault="006B71A7"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Pr="008D5991" w:rsidRDefault="006B71A7">
      <w:pPr>
        <w:jc w:val="both"/>
        <w:rPr>
          <w:rFonts w:ascii="Arial Narrow" w:hAnsi="Arial Narrow"/>
          <w:sz w:val="22"/>
          <w:szCs w:val="22"/>
        </w:rPr>
      </w:pPr>
    </w:p>
    <w:p w14:paraId="1283F1A2" w14:textId="4D25338F" w:rsidR="006B71A7" w:rsidRDefault="006B71A7">
      <w:pPr>
        <w:jc w:val="both"/>
        <w:rPr>
          <w:rFonts w:ascii="Arial Narrow" w:hAnsi="Arial Narrow"/>
          <w:sz w:val="22"/>
          <w:szCs w:val="22"/>
        </w:rPr>
      </w:pPr>
    </w:p>
    <w:p w14:paraId="2737C1AD" w14:textId="15E98526" w:rsidR="00723F48" w:rsidRDefault="00723F48">
      <w:pPr>
        <w:jc w:val="both"/>
        <w:rPr>
          <w:rFonts w:ascii="Arial Narrow" w:hAnsi="Arial Narrow"/>
          <w:sz w:val="22"/>
          <w:szCs w:val="22"/>
        </w:rPr>
      </w:pPr>
    </w:p>
    <w:p w14:paraId="3AA5C186" w14:textId="028C7915" w:rsidR="00723F48" w:rsidRDefault="00723F48">
      <w:pPr>
        <w:jc w:val="both"/>
        <w:rPr>
          <w:rFonts w:ascii="Arial Narrow" w:hAnsi="Arial Narrow"/>
          <w:sz w:val="22"/>
          <w:szCs w:val="22"/>
        </w:rPr>
      </w:pPr>
    </w:p>
    <w:p w14:paraId="620DC33E" w14:textId="225E42FD" w:rsidR="00723F48" w:rsidRDefault="00723F48">
      <w:pPr>
        <w:jc w:val="both"/>
        <w:rPr>
          <w:rFonts w:ascii="Arial Narrow" w:hAnsi="Arial Narrow"/>
          <w:sz w:val="22"/>
          <w:szCs w:val="22"/>
        </w:rPr>
      </w:pPr>
    </w:p>
    <w:p w14:paraId="153CB68F" w14:textId="34A44D3D" w:rsidR="00723F48" w:rsidRDefault="00723F48">
      <w:pPr>
        <w:jc w:val="both"/>
        <w:rPr>
          <w:rFonts w:ascii="Arial Narrow" w:hAnsi="Arial Narrow"/>
          <w:sz w:val="22"/>
          <w:szCs w:val="22"/>
        </w:rPr>
      </w:pPr>
    </w:p>
    <w:p w14:paraId="1E33E52C" w14:textId="78986BD4" w:rsidR="00723F48" w:rsidRDefault="00723F48">
      <w:pPr>
        <w:jc w:val="both"/>
        <w:rPr>
          <w:rFonts w:ascii="Arial Narrow" w:hAnsi="Arial Narrow"/>
          <w:sz w:val="22"/>
          <w:szCs w:val="22"/>
        </w:rPr>
      </w:pPr>
    </w:p>
    <w:p w14:paraId="0A6D9922" w14:textId="7F03121A" w:rsidR="00723F48" w:rsidRDefault="00723F48">
      <w:pPr>
        <w:jc w:val="both"/>
        <w:rPr>
          <w:rFonts w:ascii="Arial Narrow" w:hAnsi="Arial Narrow"/>
          <w:sz w:val="22"/>
          <w:szCs w:val="22"/>
        </w:rPr>
      </w:pPr>
    </w:p>
    <w:p w14:paraId="33DA744B" w14:textId="784BD400" w:rsidR="00723F48" w:rsidRDefault="00723F48">
      <w:pPr>
        <w:jc w:val="both"/>
        <w:rPr>
          <w:rFonts w:ascii="Arial Narrow" w:hAnsi="Arial Narrow"/>
          <w:sz w:val="22"/>
          <w:szCs w:val="22"/>
        </w:rPr>
      </w:pPr>
    </w:p>
    <w:p w14:paraId="101102DB" w14:textId="2000102F" w:rsidR="00723F48" w:rsidRDefault="00723F48">
      <w:pPr>
        <w:jc w:val="both"/>
        <w:rPr>
          <w:rFonts w:ascii="Arial Narrow" w:hAnsi="Arial Narrow"/>
          <w:sz w:val="22"/>
          <w:szCs w:val="22"/>
        </w:rPr>
      </w:pPr>
    </w:p>
    <w:p w14:paraId="3D79A22F" w14:textId="318FB6C4" w:rsidR="00723F48" w:rsidRDefault="00723F48">
      <w:pPr>
        <w:jc w:val="both"/>
        <w:rPr>
          <w:rFonts w:ascii="Arial Narrow" w:hAnsi="Arial Narrow"/>
          <w:sz w:val="22"/>
          <w:szCs w:val="22"/>
        </w:rPr>
      </w:pPr>
    </w:p>
    <w:p w14:paraId="716351A5" w14:textId="77777777" w:rsidR="00723F48" w:rsidRDefault="00723F48">
      <w:pPr>
        <w:jc w:val="both"/>
        <w:rPr>
          <w:rFonts w:ascii="Arial Narrow" w:hAnsi="Arial Narrow"/>
          <w:sz w:val="22"/>
          <w:szCs w:val="22"/>
        </w:rPr>
      </w:pPr>
    </w:p>
    <w:p w14:paraId="0CA93616" w14:textId="3FE37814" w:rsidR="00723F48" w:rsidRDefault="00723F48">
      <w:pPr>
        <w:jc w:val="both"/>
        <w:rPr>
          <w:rFonts w:ascii="Arial Narrow" w:hAnsi="Arial Narrow"/>
          <w:sz w:val="22"/>
          <w:szCs w:val="22"/>
        </w:rPr>
      </w:pPr>
    </w:p>
    <w:p w14:paraId="14826A24" w14:textId="77777777" w:rsidR="00723F48" w:rsidRPr="00941A7F" w:rsidRDefault="00723F48">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74E37AA4" w14:textId="77777777" w:rsidR="00C27B9B" w:rsidRDefault="00C27B9B">
      <w:pPr>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894BF"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ECABA"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C2E23"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0B1B857D" w:rsidR="006B6FC2" w:rsidRDefault="006B6FC2" w:rsidP="004054B5">
      <w:pPr>
        <w:autoSpaceDE w:val="0"/>
        <w:autoSpaceDN w:val="0"/>
        <w:adjustRightInd w:val="0"/>
        <w:ind w:left="284" w:hanging="284"/>
        <w:jc w:val="both"/>
        <w:rPr>
          <w:rFonts w:ascii="Arial Narrow" w:hAnsi="Arial Narrow"/>
          <w:b/>
          <w:sz w:val="22"/>
          <w:szCs w:val="22"/>
        </w:rPr>
      </w:pPr>
    </w:p>
    <w:p w14:paraId="39DCC0A3" w14:textId="6EECEB38" w:rsidR="00723F48" w:rsidRDefault="00723F48" w:rsidP="004054B5">
      <w:pPr>
        <w:autoSpaceDE w:val="0"/>
        <w:autoSpaceDN w:val="0"/>
        <w:adjustRightInd w:val="0"/>
        <w:ind w:left="284" w:hanging="284"/>
        <w:jc w:val="both"/>
        <w:rPr>
          <w:rFonts w:ascii="Arial Narrow" w:hAnsi="Arial Narrow"/>
          <w:b/>
          <w:sz w:val="22"/>
          <w:szCs w:val="22"/>
        </w:rPr>
      </w:pPr>
    </w:p>
    <w:p w14:paraId="1208B6F6" w14:textId="6C146C25" w:rsidR="00723F48" w:rsidRDefault="00723F48" w:rsidP="004054B5">
      <w:pPr>
        <w:autoSpaceDE w:val="0"/>
        <w:autoSpaceDN w:val="0"/>
        <w:adjustRightInd w:val="0"/>
        <w:ind w:left="284" w:hanging="284"/>
        <w:jc w:val="both"/>
        <w:rPr>
          <w:rFonts w:ascii="Arial Narrow" w:hAnsi="Arial Narrow"/>
          <w:b/>
          <w:sz w:val="22"/>
          <w:szCs w:val="22"/>
        </w:rPr>
      </w:pPr>
    </w:p>
    <w:p w14:paraId="6685AF24" w14:textId="22597E5B" w:rsidR="00723F48" w:rsidRDefault="00723F48" w:rsidP="004054B5">
      <w:pPr>
        <w:autoSpaceDE w:val="0"/>
        <w:autoSpaceDN w:val="0"/>
        <w:adjustRightInd w:val="0"/>
        <w:ind w:left="284" w:hanging="284"/>
        <w:jc w:val="both"/>
        <w:rPr>
          <w:rFonts w:ascii="Arial Narrow" w:hAnsi="Arial Narrow"/>
          <w:b/>
          <w:sz w:val="22"/>
          <w:szCs w:val="22"/>
        </w:rPr>
      </w:pPr>
    </w:p>
    <w:p w14:paraId="5E5124ED" w14:textId="1A434170" w:rsidR="00723F48" w:rsidRDefault="00723F48" w:rsidP="004054B5">
      <w:pPr>
        <w:autoSpaceDE w:val="0"/>
        <w:autoSpaceDN w:val="0"/>
        <w:adjustRightInd w:val="0"/>
        <w:ind w:left="284" w:hanging="284"/>
        <w:jc w:val="both"/>
        <w:rPr>
          <w:rFonts w:ascii="Arial Narrow" w:hAnsi="Arial Narrow"/>
          <w:b/>
          <w:sz w:val="22"/>
          <w:szCs w:val="22"/>
        </w:rPr>
      </w:pPr>
    </w:p>
    <w:p w14:paraId="213212CC" w14:textId="08D8A9ED" w:rsidR="00723F48" w:rsidRDefault="00723F48" w:rsidP="004054B5">
      <w:pPr>
        <w:autoSpaceDE w:val="0"/>
        <w:autoSpaceDN w:val="0"/>
        <w:adjustRightInd w:val="0"/>
        <w:ind w:left="284" w:hanging="284"/>
        <w:jc w:val="both"/>
        <w:rPr>
          <w:rFonts w:ascii="Arial Narrow" w:hAnsi="Arial Narrow"/>
          <w:b/>
          <w:sz w:val="22"/>
          <w:szCs w:val="22"/>
        </w:rPr>
      </w:pPr>
    </w:p>
    <w:p w14:paraId="2389E370" w14:textId="77777777" w:rsidR="00723F48" w:rsidRDefault="00723F48" w:rsidP="00300611">
      <w:pPr>
        <w:autoSpaceDE w:val="0"/>
        <w:autoSpaceDN w:val="0"/>
        <w:adjustRightInd w:val="0"/>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41C19"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pPr>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pPr>
        <w:jc w:val="both"/>
        <w:rPr>
          <w:rFonts w:ascii="Arial Narrow" w:hAnsi="Arial Narrow"/>
          <w:sz w:val="22"/>
          <w:szCs w:val="22"/>
        </w:rPr>
      </w:pPr>
    </w:p>
    <w:p w14:paraId="2B8C5836" w14:textId="77777777" w:rsidR="0033117C" w:rsidRPr="004F33F2" w:rsidRDefault="0033117C">
      <w:pPr>
        <w:jc w:val="both"/>
        <w:rPr>
          <w:rFonts w:ascii="Arial Narrow" w:hAnsi="Arial Narrow"/>
          <w:sz w:val="22"/>
          <w:szCs w:val="22"/>
        </w:rPr>
      </w:pPr>
    </w:p>
    <w:p w14:paraId="4220D47A" w14:textId="2E043EBE" w:rsidR="00E4678F" w:rsidRDefault="00E4678F">
      <w:pPr>
        <w:rPr>
          <w:rFonts w:ascii="Arial Narrow" w:eastAsia="Calibri" w:hAnsi="Arial Narrow" w:cs="Arial"/>
          <w:color w:val="000000"/>
        </w:rPr>
      </w:pPr>
      <w:r>
        <w:rPr>
          <w:rFonts w:ascii="Arial Narrow" w:eastAsia="Calibri" w:hAnsi="Arial Narrow" w:cs="Arial"/>
          <w:color w:val="000000"/>
        </w:rPr>
        <w:br w:type="page"/>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2CFC8EB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14:paraId="6FFC084D" w14:textId="0EE59C9E"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1. przeprowadzono analizę w celu odpowiedzi na pytanie 4.2 –</w:t>
            </w:r>
            <w:r w:rsidR="00723F48">
              <w:rPr>
                <w:rFonts w:ascii="Arial Narrow" w:hAnsi="Arial Narrow" w:cs="Arial"/>
                <w:color w:val="000000"/>
                <w:sz w:val="20"/>
                <w:szCs w:val="20"/>
              </w:rPr>
              <w:t xml:space="preserve"> </w:t>
            </w:r>
            <w:r w:rsidRPr="004F33F2">
              <w:rPr>
                <w:rFonts w:ascii="Arial Narrow" w:hAnsi="Arial Narrow" w:cs="Arial"/>
                <w:color w:val="000000"/>
                <w:sz w:val="20"/>
                <w:szCs w:val="20"/>
              </w:rPr>
              <w:t>W takich przypadkach klasyfikujemy projekt do Kategorii B - należy przejść do punktu 4.2.2</w:t>
            </w:r>
            <w:r w:rsidR="00723F48">
              <w:rPr>
                <w:rFonts w:ascii="Arial Narrow" w:hAnsi="Arial Narrow" w:cs="Arial"/>
                <w:color w:val="000000"/>
                <w:sz w:val="20"/>
                <w:szCs w:val="20"/>
              </w:rPr>
              <w:t xml:space="preserve"> i odpowiednio to wyjaśnić.</w:t>
            </w:r>
            <w:r w:rsidRPr="004F33F2">
              <w:rPr>
                <w:rFonts w:ascii="Arial Narrow" w:hAnsi="Arial Narrow" w:cs="Arial"/>
                <w:color w:val="000000"/>
                <w:sz w:val="20"/>
                <w:szCs w:val="20"/>
              </w:rPr>
              <w:t xml:space="preserve"> </w:t>
            </w:r>
          </w:p>
          <w:p w14:paraId="32D75B8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0ADFE128"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14:paraId="49CD601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14:paraId="66EC6B22"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30A68478"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w:t>
            </w:r>
            <w:r w:rsidR="00723F48" w:rsidRPr="004F33F2">
              <w:rPr>
                <w:rFonts w:ascii="Arial Narrow" w:hAnsi="Arial Narrow" w:cs="Arial"/>
                <w:sz w:val="20"/>
                <w:szCs w:val="20"/>
              </w:rPr>
              <w:t xml:space="preserve">środowiskowych uwarunkowaniach. W odniesieniu do przedsięwzięć </w:t>
            </w:r>
            <w:r w:rsidRPr="004F33F2">
              <w:rPr>
                <w:rFonts w:ascii="Arial Narrow" w:hAnsi="Arial Narrow" w:cs="Arial"/>
                <w:sz w:val="20"/>
                <w:szCs w:val="20"/>
              </w:rPr>
              <w:t xml:space="preserve">o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77777777"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7777777"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 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t xml:space="preserve">Ad. Załącznik nr 16 - </w:t>
      </w:r>
      <w:r w:rsidRPr="004F33F2">
        <w:rPr>
          <w:rFonts w:ascii="Arial Narrow" w:hAnsi="Arial Narrow"/>
          <w:sz w:val="22"/>
          <w:szCs w:val="22"/>
        </w:rPr>
        <w:t>Inne dokumenty wymagane prawem polskim lub kategorią projektu.</w:t>
      </w:r>
    </w:p>
    <w:p w14:paraId="58A8262B" w14:textId="77777777" w:rsidR="00C5421B" w:rsidRPr="005E03AA" w:rsidRDefault="00DF48ED" w:rsidP="00C5421B">
      <w:pPr>
        <w:spacing w:line="276" w:lineRule="auto"/>
        <w:jc w:val="both"/>
        <w:rPr>
          <w:rFonts w:ascii="Arial Narrow" w:hAnsi="Arial Narrow"/>
          <w:sz w:val="20"/>
          <w:szCs w:val="20"/>
        </w:rPr>
      </w:pPr>
      <w:r w:rsidRPr="004F33F2">
        <w:rPr>
          <w:rFonts w:ascii="Arial Narrow" w:hAnsi="Arial Narrow"/>
          <w:sz w:val="22"/>
          <w:szCs w:val="22"/>
        </w:rPr>
        <w:t xml:space="preserve">  </w:t>
      </w:r>
      <w:r w:rsidR="00C5421B" w:rsidRPr="005E03AA">
        <w:rPr>
          <w:rFonts w:ascii="Arial Narrow" w:hAnsi="Arial Narrow"/>
          <w:sz w:val="20"/>
          <w:szCs w:val="20"/>
        </w:rPr>
        <w:t xml:space="preserve">W przypadku </w:t>
      </w:r>
      <w:r w:rsidR="00C5421B" w:rsidRPr="005F6723">
        <w:rPr>
          <w:rFonts w:ascii="Arial Narrow" w:hAnsi="Arial Narrow"/>
          <w:b/>
          <w:sz w:val="20"/>
          <w:szCs w:val="20"/>
        </w:rPr>
        <w:t>projektu hybrydowego</w:t>
      </w:r>
      <w:r w:rsidR="00C5421B" w:rsidRPr="005E03AA">
        <w:rPr>
          <w:rFonts w:ascii="Arial Narrow" w:hAnsi="Arial Narrow"/>
          <w:sz w:val="20"/>
          <w:szCs w:val="20"/>
        </w:rPr>
        <w:t xml:space="preserve"> należy w ramach załącznika przedłożyć:</w:t>
      </w:r>
    </w:p>
    <w:p w14:paraId="45CD3496" w14:textId="77777777" w:rsidR="00C5421B" w:rsidRPr="005623DD" w:rsidRDefault="00C5421B" w:rsidP="00C5421B">
      <w:pPr>
        <w:pStyle w:val="Akapitzlist"/>
        <w:numPr>
          <w:ilvl w:val="0"/>
          <w:numId w:val="148"/>
        </w:numPr>
        <w:spacing w:line="276" w:lineRule="auto"/>
        <w:jc w:val="both"/>
        <w:rPr>
          <w:rFonts w:ascii="Arial Narrow" w:hAnsi="Arial Narrow"/>
          <w:sz w:val="20"/>
          <w:szCs w:val="20"/>
        </w:rPr>
      </w:pPr>
      <w:r w:rsidRPr="005623DD">
        <w:rPr>
          <w:rFonts w:ascii="Arial Narrow" w:hAnsi="Arial Narrow"/>
          <w:sz w:val="20"/>
          <w:szCs w:val="20"/>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5623DD" w:rsidRDefault="00C5421B" w:rsidP="00C5421B">
      <w:pPr>
        <w:pStyle w:val="Akapitzlist"/>
        <w:tabs>
          <w:tab w:val="left" w:pos="360"/>
        </w:tabs>
        <w:spacing w:line="276" w:lineRule="auto"/>
        <w:ind w:left="360"/>
        <w:jc w:val="both"/>
        <w:rPr>
          <w:rFonts w:ascii="Arial Narrow" w:hAnsi="Arial Narrow"/>
          <w:sz w:val="20"/>
          <w:szCs w:val="20"/>
        </w:rPr>
      </w:pPr>
      <w:r w:rsidRPr="005623DD">
        <w:rPr>
          <w:rFonts w:ascii="Arial Narrow" w:hAnsi="Arial Narrow"/>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5623DD" w:rsidRDefault="00C5421B" w:rsidP="00C5421B">
      <w:pPr>
        <w:pStyle w:val="Akapitzlist"/>
        <w:numPr>
          <w:ilvl w:val="0"/>
          <w:numId w:val="148"/>
        </w:numPr>
        <w:spacing w:line="276" w:lineRule="auto"/>
        <w:jc w:val="both"/>
        <w:rPr>
          <w:rFonts w:ascii="Arial Narrow" w:hAnsi="Arial Narrow"/>
          <w:sz w:val="20"/>
          <w:szCs w:val="20"/>
        </w:rPr>
      </w:pPr>
      <w:r w:rsidRPr="005623DD">
        <w:rPr>
          <w:rFonts w:ascii="Arial Narrow" w:hAnsi="Arial Narrow"/>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5623DD" w:rsidRDefault="00C5421B" w:rsidP="00C5421B">
      <w:pPr>
        <w:pStyle w:val="Akapitzlist"/>
        <w:numPr>
          <w:ilvl w:val="0"/>
          <w:numId w:val="148"/>
        </w:numPr>
        <w:spacing w:line="276" w:lineRule="auto"/>
        <w:jc w:val="both"/>
        <w:rPr>
          <w:rFonts w:ascii="Arial Narrow" w:hAnsi="Arial Narrow"/>
          <w:sz w:val="20"/>
          <w:szCs w:val="20"/>
        </w:rPr>
      </w:pPr>
      <w:r w:rsidRPr="005623DD">
        <w:rPr>
          <w:rFonts w:ascii="Arial Narrow" w:hAnsi="Arial Narrow"/>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5623DD" w:rsidRDefault="00C5421B" w:rsidP="00C5421B">
      <w:pPr>
        <w:pStyle w:val="Akapitzlist"/>
        <w:numPr>
          <w:ilvl w:val="0"/>
          <w:numId w:val="148"/>
        </w:numPr>
        <w:spacing w:line="276" w:lineRule="auto"/>
        <w:jc w:val="both"/>
        <w:rPr>
          <w:rFonts w:ascii="Arial Narrow" w:hAnsi="Arial Narrow"/>
          <w:sz w:val="20"/>
          <w:szCs w:val="20"/>
        </w:rPr>
      </w:pPr>
      <w:r w:rsidRPr="005623DD">
        <w:rPr>
          <w:rFonts w:ascii="Arial Narrow" w:hAnsi="Arial Narrow"/>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5623DD" w:rsidRDefault="00C5421B" w:rsidP="00C5421B">
      <w:pPr>
        <w:pStyle w:val="Akapitzlist"/>
        <w:numPr>
          <w:ilvl w:val="3"/>
          <w:numId w:val="148"/>
        </w:numPr>
        <w:spacing w:line="276" w:lineRule="auto"/>
        <w:jc w:val="both"/>
        <w:rPr>
          <w:rFonts w:ascii="Arial Narrow" w:hAnsi="Arial Narrow"/>
          <w:sz w:val="20"/>
          <w:szCs w:val="20"/>
        </w:rPr>
      </w:pPr>
      <w:r w:rsidRPr="005623DD">
        <w:rPr>
          <w:rFonts w:ascii="Arial Narrow" w:hAnsi="Arial Narrow"/>
          <w:sz w:val="20"/>
          <w:szCs w:val="20"/>
        </w:rPr>
        <w:t>dokonanie wyboru partnera prywatnego,</w:t>
      </w:r>
    </w:p>
    <w:p w14:paraId="727C6CF5" w14:textId="77777777" w:rsidR="00C5421B" w:rsidRPr="005623DD" w:rsidRDefault="00C5421B" w:rsidP="00C5421B">
      <w:pPr>
        <w:pStyle w:val="Akapitzlist"/>
        <w:numPr>
          <w:ilvl w:val="3"/>
          <w:numId w:val="148"/>
        </w:numPr>
        <w:spacing w:line="276" w:lineRule="auto"/>
        <w:jc w:val="both"/>
        <w:rPr>
          <w:rFonts w:ascii="Arial Narrow" w:hAnsi="Arial Narrow"/>
          <w:sz w:val="20"/>
          <w:szCs w:val="20"/>
        </w:rPr>
      </w:pPr>
      <w:r w:rsidRPr="005623DD">
        <w:rPr>
          <w:rFonts w:ascii="Arial Narrow" w:hAnsi="Arial Narrow"/>
          <w:sz w:val="20"/>
          <w:szCs w:val="20"/>
        </w:rPr>
        <w:t>zawarcie umowy PPP,</w:t>
      </w:r>
    </w:p>
    <w:p w14:paraId="2A6CEB7E" w14:textId="77777777" w:rsidR="00C5421B" w:rsidRPr="005623DD" w:rsidRDefault="00C5421B" w:rsidP="00C5421B">
      <w:pPr>
        <w:pStyle w:val="Akapitzlist"/>
        <w:numPr>
          <w:ilvl w:val="3"/>
          <w:numId w:val="148"/>
        </w:numPr>
        <w:spacing w:line="276" w:lineRule="auto"/>
        <w:jc w:val="both"/>
        <w:rPr>
          <w:rFonts w:ascii="Arial Narrow" w:hAnsi="Arial Narrow"/>
          <w:sz w:val="20"/>
          <w:szCs w:val="20"/>
        </w:rPr>
      </w:pPr>
      <w:r w:rsidRPr="005623DD">
        <w:rPr>
          <w:rFonts w:ascii="Arial Narrow" w:hAnsi="Arial Narrow"/>
          <w:sz w:val="20"/>
          <w:szCs w:val="20"/>
        </w:rPr>
        <w:t>zawarcie umów finansowania projektu hybrydowego z zewnętrznymi instytucjami finansowymi (jeśli dotyczy danego projektu)</w:t>
      </w:r>
    </w:p>
    <w:p w14:paraId="539F62F3" w14:textId="70FF21AB" w:rsidR="00DF48ED" w:rsidRPr="00C5421B" w:rsidRDefault="00C5421B" w:rsidP="00E80611">
      <w:pPr>
        <w:pStyle w:val="Akapitzlist"/>
        <w:numPr>
          <w:ilvl w:val="0"/>
          <w:numId w:val="148"/>
        </w:numPr>
        <w:spacing w:line="276" w:lineRule="auto"/>
        <w:jc w:val="both"/>
        <w:rPr>
          <w:rFonts w:ascii="Arial Narrow" w:hAnsi="Arial Narrow"/>
          <w:sz w:val="20"/>
          <w:szCs w:val="20"/>
        </w:rPr>
      </w:pPr>
      <w:r w:rsidRPr="005623DD">
        <w:rPr>
          <w:rFonts w:ascii="Arial Narrow" w:hAnsi="Arial Narrow"/>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4A3F0B3" w14:textId="77777777" w:rsidR="00DF48ED" w:rsidRPr="004F33F2" w:rsidRDefault="00DF48ED" w:rsidP="00DF48ED">
      <w:pPr>
        <w:spacing w:line="276" w:lineRule="auto"/>
        <w:jc w:val="both"/>
        <w:rPr>
          <w:rFonts w:ascii="Arial Narrow" w:hAnsi="Arial Narrow"/>
          <w:color w:val="00B050"/>
          <w:sz w:val="22"/>
          <w:szCs w:val="22"/>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095B2F">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181C" w14:textId="77777777" w:rsidR="00B17EC7" w:rsidRDefault="00B17EC7" w:rsidP="00512F18">
      <w:r>
        <w:separator/>
      </w:r>
    </w:p>
  </w:endnote>
  <w:endnote w:type="continuationSeparator" w:id="0">
    <w:p w14:paraId="12F10DF9" w14:textId="77777777" w:rsidR="00B17EC7" w:rsidRDefault="00B17EC7"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99543"/>
      <w:docPartObj>
        <w:docPartGallery w:val="Page Numbers (Bottom of Page)"/>
        <w:docPartUnique/>
      </w:docPartObj>
    </w:sdtPr>
    <w:sdtEndPr/>
    <w:sdtContent>
      <w:p w14:paraId="0C6A2D3C" w14:textId="4F03352D" w:rsidR="00B17EC7" w:rsidRDefault="00B17EC7">
        <w:pPr>
          <w:pStyle w:val="Stopka"/>
          <w:jc w:val="right"/>
        </w:pPr>
        <w:r>
          <w:fldChar w:fldCharType="begin"/>
        </w:r>
        <w:r>
          <w:instrText>PAGE   \* MERGEFORMAT</w:instrText>
        </w:r>
        <w:r>
          <w:fldChar w:fldCharType="separate"/>
        </w:r>
        <w:r w:rsidR="00355072">
          <w:rPr>
            <w:noProof/>
          </w:rPr>
          <w:t>1</w:t>
        </w:r>
        <w:r>
          <w:fldChar w:fldCharType="end"/>
        </w:r>
      </w:p>
    </w:sdtContent>
  </w:sdt>
  <w:p w14:paraId="60561403" w14:textId="77777777" w:rsidR="00B17EC7" w:rsidRDefault="00B17EC7">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68EE" w14:textId="77777777" w:rsidR="00B17EC7" w:rsidRDefault="00B17EC7" w:rsidP="00512F18">
      <w:r>
        <w:separator/>
      </w:r>
    </w:p>
  </w:footnote>
  <w:footnote w:type="continuationSeparator" w:id="0">
    <w:p w14:paraId="57CF2633" w14:textId="77777777" w:rsidR="00B17EC7" w:rsidRDefault="00B17EC7" w:rsidP="00512F18">
      <w:r>
        <w:continuationSeparator/>
      </w:r>
    </w:p>
  </w:footnote>
  <w:footnote w:id="1">
    <w:p w14:paraId="5C54D953" w14:textId="77777777" w:rsidR="00B17EC7" w:rsidRDefault="00B17EC7">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B17EC7" w:rsidRPr="006B6FC2" w:rsidRDefault="00B17EC7"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B17EC7" w:rsidRPr="006B6FC2" w:rsidRDefault="00B17EC7"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B17EC7" w:rsidRPr="006B6FC2" w:rsidRDefault="00B17EC7"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B17EC7" w:rsidRPr="006B6FC2" w:rsidRDefault="00B17EC7"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B17EC7" w:rsidRPr="006B6FC2" w:rsidRDefault="00B17EC7"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B17EC7" w:rsidRPr="006B6FC2" w:rsidRDefault="00B17EC7"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B17EC7" w:rsidRPr="006B6FC2" w:rsidRDefault="00B17EC7"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B17EC7" w:rsidRPr="006B6FC2" w:rsidRDefault="00B17EC7"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B17EC7" w:rsidRPr="006B6FC2" w:rsidRDefault="00B17EC7"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B17EC7" w:rsidRPr="006B6FC2" w:rsidRDefault="00B17EC7"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B17EC7" w:rsidRPr="006B6FC2" w:rsidRDefault="00B17EC7"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B17EC7" w:rsidRPr="006B6FC2" w:rsidRDefault="00B17EC7"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B17EC7" w:rsidRPr="006B6FC2" w:rsidRDefault="00B17EC7"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B17EC7" w:rsidRPr="006B6FC2" w:rsidRDefault="00B17EC7"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B17EC7" w:rsidRPr="006B6FC2" w:rsidRDefault="00B17EC7"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B17EC7" w:rsidRPr="006B6FC2" w:rsidRDefault="00B17EC7"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B17EC7" w:rsidRPr="006B6FC2" w:rsidRDefault="00B17EC7"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B17EC7" w:rsidRPr="006B6FC2" w:rsidRDefault="00B17EC7"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B17EC7" w:rsidRDefault="00B17EC7"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B17EC7" w:rsidRPr="006B6FC2" w:rsidRDefault="00B17EC7"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B17EC7" w:rsidRPr="006B6FC2" w:rsidRDefault="00B17EC7"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B17EC7" w:rsidRPr="006B6FC2" w:rsidRDefault="00B17EC7"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B17EC7" w:rsidRDefault="00355072" w:rsidP="00DF48ED">
      <w:pPr>
        <w:pStyle w:val="Tekstprzypisudolnego"/>
        <w:jc w:val="both"/>
      </w:pPr>
      <w:hyperlink r:id="rId2" w:history="1">
        <w:r w:rsidR="00B17EC7" w:rsidRPr="006B6FC2">
          <w:rPr>
            <w:rStyle w:val="Hipercze"/>
            <w:rFonts w:ascii="Arial Narrow" w:hAnsi="Arial Narrow" w:cs="Arial"/>
            <w:sz w:val="18"/>
            <w:szCs w:val="18"/>
          </w:rPr>
          <w:t>http://ec.europa.eu/clima/policies/adaptation/what/docs/non_paper_guidelines_project_managers_en.pdf</w:t>
        </w:r>
      </w:hyperlink>
      <w:r w:rsidR="00B17EC7"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B17EC7" w:rsidRPr="006B6FC2">
          <w:rPr>
            <w:rStyle w:val="Hipercze"/>
            <w:rFonts w:ascii="Arial Narrow" w:hAnsi="Arial Narrow" w:cs="Arial"/>
            <w:sz w:val="18"/>
            <w:szCs w:val="18"/>
          </w:rPr>
          <w:t>http://ec.europa.eu/environment/eia/home.htm</w:t>
        </w:r>
      </w:hyperlink>
      <w:r w:rsidR="00B17EC7" w:rsidRPr="00CA4D66">
        <w:rPr>
          <w:rFonts w:ascii="Arial" w:hAnsi="Arial" w:cs="Arial"/>
          <w:color w:val="000000"/>
          <w:sz w:val="18"/>
          <w:szCs w:val="18"/>
        </w:rPr>
        <w:t xml:space="preserve"> </w:t>
      </w:r>
      <w:r w:rsidR="00B17EC7" w:rsidRPr="00CA4D66">
        <w:rPr>
          <w:rFonts w:ascii="Arial" w:hAnsi="Arial" w:cs="Arial"/>
          <w:color w:val="000000"/>
          <w:sz w:val="24"/>
          <w:szCs w:val="24"/>
        </w:rPr>
        <w:t xml:space="preserve"> </w:t>
      </w:r>
    </w:p>
  </w:footnote>
  <w:footnote w:id="23">
    <w:p w14:paraId="059429C5" w14:textId="77777777" w:rsidR="00B17EC7" w:rsidRPr="006B6FC2" w:rsidRDefault="00B17EC7"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B17EC7" w:rsidRDefault="00B17EC7"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14:paraId="1BBB13F4"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B17EC7" w:rsidRPr="004054B5" w:rsidRDefault="00B17EC7"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77777777" w:rsidR="00B17EC7" w:rsidRPr="004054B5" w:rsidRDefault="00B17EC7"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14:paraId="3039FA96"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14:paraId="3B4F1D6A" w14:textId="77777777" w:rsidR="00B17EC7" w:rsidRPr="006B6FC2" w:rsidRDefault="00B17EC7"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B17EC7" w:rsidRPr="006B6FC2" w:rsidRDefault="00B17EC7"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B17EC7" w:rsidRPr="00F26BB8" w:rsidRDefault="00B17EC7"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B17EC7" w:rsidRPr="00040603" w:rsidRDefault="00B17EC7"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B17EC7" w:rsidRPr="00040603" w:rsidRDefault="00B17EC7"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6105C3D4" w14:textId="77777777" w:rsidR="00B17EC7" w:rsidRPr="00040603" w:rsidRDefault="00B17EC7"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3536842B" w14:textId="77777777" w:rsidR="00B17EC7" w:rsidRDefault="00B17EC7"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B17EC7" w:rsidRPr="004054B5" w:rsidRDefault="00B17EC7"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B17EC7" w:rsidRPr="008D5991" w:rsidRDefault="00B17EC7"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B17EC7" w:rsidRPr="008D5991" w:rsidRDefault="00B17EC7"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77777777" w:rsidR="00B17EC7" w:rsidRPr="006B6FC2" w:rsidRDefault="00B17EC7"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14:paraId="3128D823" w14:textId="77777777" w:rsidR="00B17EC7" w:rsidRPr="006B6FC2" w:rsidRDefault="00B17EC7"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B17EC7" w:rsidRPr="0079193E" w:rsidRDefault="00B17EC7"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B17EC7" w:rsidRPr="004054B5" w:rsidRDefault="00B17EC7"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B17EC7" w:rsidRPr="004054B5" w:rsidRDefault="00B17EC7"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B17EC7" w:rsidRPr="004054B5" w:rsidRDefault="00B17EC7"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B17EC7" w:rsidRPr="004054B5" w:rsidRDefault="00B17EC7"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B17EC7" w:rsidRPr="004054B5" w:rsidRDefault="00B17EC7"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B17EC7" w:rsidRPr="004054B5" w:rsidRDefault="00B17EC7"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B17EC7" w:rsidRPr="004054B5" w:rsidRDefault="00B17EC7"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B17EC7" w:rsidRDefault="00B17EC7" w:rsidP="00DF48ED">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7"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8"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9"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0"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2"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3"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4"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5"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6"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0"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1"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2"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4"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5"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1"/>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10"/>
  </w:num>
  <w:num w:numId="10">
    <w:abstractNumId w:val="136"/>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2"/>
  </w:num>
  <w:num w:numId="33">
    <w:abstractNumId w:val="63"/>
  </w:num>
  <w:num w:numId="34">
    <w:abstractNumId w:val="122"/>
  </w:num>
  <w:num w:numId="35">
    <w:abstractNumId w:val="83"/>
  </w:num>
  <w:num w:numId="36">
    <w:abstractNumId w:val="61"/>
  </w:num>
  <w:num w:numId="37">
    <w:abstractNumId w:val="139"/>
  </w:num>
  <w:num w:numId="38">
    <w:abstractNumId w:val="79"/>
  </w:num>
  <w:num w:numId="39">
    <w:abstractNumId w:val="12"/>
  </w:num>
  <w:num w:numId="40">
    <w:abstractNumId w:val="82"/>
  </w:num>
  <w:num w:numId="41">
    <w:abstractNumId w:val="127"/>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3"/>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2"/>
  </w:num>
  <w:num w:numId="63">
    <w:abstractNumId w:val="137"/>
  </w:num>
  <w:num w:numId="64">
    <w:abstractNumId w:val="70"/>
  </w:num>
  <w:num w:numId="65">
    <w:abstractNumId w:val="101"/>
  </w:num>
  <w:num w:numId="66">
    <w:abstractNumId w:val="32"/>
  </w:num>
  <w:num w:numId="67">
    <w:abstractNumId w:val="145"/>
  </w:num>
  <w:num w:numId="68">
    <w:abstractNumId w:val="126"/>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8"/>
  </w:num>
  <w:num w:numId="87">
    <w:abstractNumId w:val="133"/>
  </w:num>
  <w:num w:numId="88">
    <w:abstractNumId w:val="81"/>
  </w:num>
  <w:num w:numId="89">
    <w:abstractNumId w:val="30"/>
  </w:num>
  <w:num w:numId="90">
    <w:abstractNumId w:val="66"/>
  </w:num>
  <w:num w:numId="91">
    <w:abstractNumId w:val="103"/>
  </w:num>
  <w:num w:numId="92">
    <w:abstractNumId w:val="48"/>
  </w:num>
  <w:num w:numId="93">
    <w:abstractNumId w:val="129"/>
  </w:num>
  <w:num w:numId="94">
    <w:abstractNumId w:val="74"/>
  </w:num>
  <w:num w:numId="95">
    <w:abstractNumId w:val="39"/>
  </w:num>
  <w:num w:numId="96">
    <w:abstractNumId w:val="78"/>
  </w:num>
  <w:num w:numId="97">
    <w:abstractNumId w:val="19"/>
  </w:num>
  <w:num w:numId="98">
    <w:abstractNumId w:val="105"/>
  </w:num>
  <w:num w:numId="99">
    <w:abstractNumId w:val="140"/>
  </w:num>
  <w:num w:numId="100">
    <w:abstractNumId w:val="50"/>
  </w:num>
  <w:num w:numId="101">
    <w:abstractNumId w:val="1"/>
  </w:num>
  <w:num w:numId="102">
    <w:abstractNumId w:val="135"/>
  </w:num>
  <w:num w:numId="103">
    <w:abstractNumId w:val="100"/>
  </w:num>
  <w:num w:numId="104">
    <w:abstractNumId w:val="130"/>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1"/>
  </w:num>
  <w:num w:numId="121">
    <w:abstractNumId w:val="9"/>
  </w:num>
  <w:num w:numId="122">
    <w:abstractNumId w:val="64"/>
  </w:num>
  <w:num w:numId="123">
    <w:abstractNumId w:val="27"/>
  </w:num>
  <w:num w:numId="124">
    <w:abstractNumId w:val="134"/>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4"/>
  </w:num>
  <w:num w:numId="146">
    <w:abstractNumId w:val="119"/>
  </w:num>
  <w:num w:numId="147">
    <w:abstractNumId w:val="11"/>
  </w:num>
  <w:num w:numId="148">
    <w:abstractNumId w:val="5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2F3"/>
    <w:rsid w:val="00095B2F"/>
    <w:rsid w:val="00095FA7"/>
    <w:rsid w:val="00096399"/>
    <w:rsid w:val="000966A9"/>
    <w:rsid w:val="000A0B28"/>
    <w:rsid w:val="000A0CE3"/>
    <w:rsid w:val="000A1D1B"/>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611"/>
    <w:rsid w:val="00300F5B"/>
    <w:rsid w:val="0030155A"/>
    <w:rsid w:val="0030201D"/>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072"/>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3F48"/>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74C"/>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6EAD6FAC"/>
  <w15:docId w15:val="{6E08989B-DB71-4522-9A85-0D80465F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A319-9D3F-4762-87F8-2A30C5EB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29023</Words>
  <Characters>174144</Characters>
  <Application>Microsoft Office Word</Application>
  <DocSecurity>0</DocSecurity>
  <Lines>1451</Lines>
  <Paragraphs>405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Michał Zawadzki</cp:lastModifiedBy>
  <cp:revision>5</cp:revision>
  <cp:lastPrinted>2017-01-25T13:17:00Z</cp:lastPrinted>
  <dcterms:created xsi:type="dcterms:W3CDTF">2017-02-13T14:10:00Z</dcterms:created>
  <dcterms:modified xsi:type="dcterms:W3CDTF">2017-03-03T09:28:00Z</dcterms:modified>
</cp:coreProperties>
</file>