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7E5E" w14:textId="3B40F722" w:rsidR="00DD0002" w:rsidRDefault="00DD0002" w:rsidP="00DD000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0002">
        <w:rPr>
          <w:rFonts w:ascii="Arial" w:eastAsia="Times New Roman" w:hAnsi="Arial" w:cs="Arial"/>
          <w:b/>
          <w:sz w:val="20"/>
          <w:szCs w:val="20"/>
          <w:lang w:eastAsia="pl-PL"/>
        </w:rPr>
        <w:t>Załącznik 15 - Podstawowe informacje dotyczące uzyskiwania kwalifikacji w ramach projektów współfinansowanych z  Europejskiego Funduszu Społecznego</w:t>
      </w:r>
    </w:p>
    <w:p w14:paraId="4655B116" w14:textId="60777BBF" w:rsidR="00DD0002" w:rsidRDefault="00DD0002" w:rsidP="00DD000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D337A9" w14:textId="77777777" w:rsidR="00DD0002" w:rsidRDefault="00DD0002" w:rsidP="00DD00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5E3A7AC" w14:textId="67787B99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7A33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 xml:space="preserve">. W przypadku takich projektów EFS, wskaźnik ten jest wymagany do spełnienia i brak jego realizacji może powodować </w:t>
      </w:r>
      <w:proofErr w:type="spellStart"/>
      <w:r>
        <w:rPr>
          <w:rFonts w:ascii="Arial" w:hAnsi="Arial" w:cs="Arial"/>
          <w:sz w:val="20"/>
          <w:szCs w:val="20"/>
        </w:rPr>
        <w:t>niekwalifikowalność</w:t>
      </w:r>
      <w:proofErr w:type="spellEnd"/>
      <w:r>
        <w:rPr>
          <w:rFonts w:ascii="Arial" w:hAnsi="Arial" w:cs="Arial"/>
          <w:sz w:val="20"/>
          <w:szCs w:val="20"/>
        </w:rPr>
        <w:t xml:space="preserve">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77777777" w:rsidR="00361FAE" w:rsidRDefault="00361FAE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7A3361">
        <w:rPr>
          <w:rFonts w:ascii="Arial" w:hAnsi="Arial" w:cs="Arial"/>
          <w:sz w:val="20"/>
          <w:szCs w:val="20"/>
        </w:rPr>
        <w:t>Dz.U. z 2016 r., poz. 64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70CC63CE" w:rsidR="000E3769" w:rsidRDefault="00040A80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>jest interpretacją Ministerstwa 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91660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</w:t>
      </w:r>
      <w:proofErr w:type="spellStart"/>
      <w:r w:rsidR="008C7F33">
        <w:rPr>
          <w:rFonts w:ascii="Arial" w:hAnsi="Arial" w:cs="Arial"/>
          <w:sz w:val="20"/>
          <w:szCs w:val="20"/>
        </w:rPr>
        <w:t>pozaformalnej</w:t>
      </w:r>
      <w:proofErr w:type="spellEnd"/>
      <w:r w:rsidR="008C7F33">
        <w:rPr>
          <w:rFonts w:ascii="Arial" w:hAnsi="Arial" w:cs="Arial"/>
          <w:sz w:val="20"/>
          <w:szCs w:val="20"/>
        </w:rPr>
        <w:t xml:space="preserve">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>dla kwalifikacji powinny być również określone wymagania 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08D14F5B" w14:textId="77777777" w:rsidR="006E0EA8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poziomów </w:t>
      </w:r>
      <w:r w:rsidRPr="00DB3D7D">
        <w:rPr>
          <w:rFonts w:ascii="Arial" w:hAnsi="Arial" w:cs="Arial"/>
          <w:sz w:val="20"/>
          <w:szCs w:val="20"/>
        </w:rPr>
        <w:lastRenderedPageBreak/>
        <w:t>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EBF3D8D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367354FC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(zestaw: Realizacja 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Zapewnia świadczenia zastępcze w przypadku braku możliwości realizacji 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70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32D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32D9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 xml:space="preserve">na etapie </w:t>
      </w:r>
      <w:r w:rsidR="00DD53FE">
        <w:rPr>
          <w:rFonts w:ascii="Arial" w:hAnsi="Arial" w:cs="Arial"/>
          <w:sz w:val="20"/>
          <w:szCs w:val="20"/>
        </w:rPr>
        <w:lastRenderedPageBreak/>
        <w:t>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F45B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5B2E22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77777777" w:rsidR="00C60E30" w:rsidRPr="00CD7052" w:rsidRDefault="00E531FE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(Dz.U. 1991 nr 95 poz. 425 z późn.zm.)</w:t>
      </w:r>
      <w:r w:rsidR="00C60E30" w:rsidRPr="00CD7052">
        <w:rPr>
          <w:rFonts w:ascii="Arial" w:hAnsi="Arial" w:cs="Arial"/>
          <w:sz w:val="20"/>
          <w:szCs w:val="20"/>
        </w:rPr>
        <w:t>,</w:t>
      </w:r>
    </w:p>
    <w:p w14:paraId="18754619" w14:textId="77777777" w:rsidR="0074365A" w:rsidRPr="00CD7052" w:rsidRDefault="00E531FE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(Dz.U. 2005 nr 164 poz. 1365)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7777777" w:rsidR="00370BDF" w:rsidRPr="00CD7052" w:rsidRDefault="00941BB9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(Dz.U. 2012 poz. 7)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77777777" w:rsidR="002C630F" w:rsidRPr="00CD7052" w:rsidRDefault="00E12509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(Dz.U. 2012 poz. 186)</w:t>
      </w:r>
      <w:r w:rsidR="005A27A1" w:rsidRPr="00CD7052">
        <w:rPr>
          <w:rFonts w:ascii="Arial" w:hAnsi="Arial" w:cs="Arial"/>
          <w:sz w:val="20"/>
          <w:szCs w:val="20"/>
        </w:rPr>
        <w:t>.</w:t>
      </w:r>
    </w:p>
    <w:p w14:paraId="388F2C92" w14:textId="77777777" w:rsidR="002C630F" w:rsidRPr="00995120" w:rsidRDefault="002C630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4E1F48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5B2E2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>m.in: Urząd Dozoru Technicznego, Transportowy Dozór Techniczny, Instytut Spawalnictwa, Urząd Regulacji Energetyki, Instytut Mechanizacji 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CD705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291AB0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lastRenderedPageBreak/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041BE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064F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</w:t>
      </w:r>
      <w:proofErr w:type="spellStart"/>
      <w:r w:rsidRPr="00641D1C">
        <w:rPr>
          <w:rFonts w:ascii="Arial" w:hAnsi="Arial" w:cs="Arial"/>
          <w:sz w:val="20"/>
          <w:szCs w:val="20"/>
        </w:rPr>
        <w:t>European</w:t>
      </w:r>
      <w:proofErr w:type="spellEnd"/>
      <w:r w:rsidRPr="00641D1C">
        <w:rPr>
          <w:rFonts w:ascii="Arial" w:hAnsi="Arial" w:cs="Arial"/>
          <w:sz w:val="20"/>
          <w:szCs w:val="20"/>
        </w:rPr>
        <w:t xml:space="preserve"> Financial Planning </w:t>
      </w:r>
      <w:proofErr w:type="spellStart"/>
      <w:r w:rsidRPr="00641D1C">
        <w:rPr>
          <w:rFonts w:ascii="Arial" w:hAnsi="Arial" w:cs="Arial"/>
          <w:sz w:val="20"/>
          <w:szCs w:val="20"/>
        </w:rPr>
        <w:t>Association</w:t>
      </w:r>
      <w:proofErr w:type="spellEnd"/>
      <w:r w:rsidRPr="00641D1C"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641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 xml:space="preserve">Certyfikat </w:t>
      </w:r>
      <w:proofErr w:type="spellStart"/>
      <w:r w:rsidRPr="00641D1C">
        <w:rPr>
          <w:rFonts w:ascii="Arial" w:hAnsi="Arial" w:cs="Arial"/>
          <w:sz w:val="20"/>
          <w:szCs w:val="20"/>
        </w:rPr>
        <w:t>ogólnoban</w:t>
      </w:r>
      <w:r>
        <w:rPr>
          <w:rFonts w:ascii="Arial" w:hAnsi="Arial" w:cs="Arial"/>
          <w:sz w:val="20"/>
          <w:szCs w:val="20"/>
        </w:rPr>
        <w:t>kowy</w:t>
      </w:r>
      <w:proofErr w:type="spellEnd"/>
      <w:r>
        <w:rPr>
          <w:rFonts w:ascii="Arial" w:hAnsi="Arial" w:cs="Arial"/>
          <w:sz w:val="20"/>
          <w:szCs w:val="20"/>
        </w:rPr>
        <w:t xml:space="preserve">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291AB0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600044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282202">
      <w:pPr>
        <w:numPr>
          <w:ilvl w:val="0"/>
          <w:numId w:val="13"/>
        </w:numPr>
        <w:spacing w:after="12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282202">
      <w:pPr>
        <w:numPr>
          <w:ilvl w:val="0"/>
          <w:numId w:val="12"/>
        </w:num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4E45DF">
        <w:rPr>
          <w:rFonts w:ascii="Arial" w:hAnsi="Arial" w:cs="Arial"/>
          <w:sz w:val="20"/>
          <w:szCs w:val="20"/>
        </w:rPr>
        <w:t>Common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5DF">
        <w:rPr>
          <w:rFonts w:ascii="Arial" w:hAnsi="Arial" w:cs="Arial"/>
          <w:sz w:val="20"/>
          <w:szCs w:val="20"/>
        </w:rPr>
        <w:t>European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Framework of Reference for </w:t>
      </w:r>
      <w:proofErr w:type="spellStart"/>
      <w:r w:rsidRPr="004E45DF">
        <w:rPr>
          <w:rFonts w:ascii="Arial" w:hAnsi="Arial" w:cs="Arial"/>
          <w:sz w:val="20"/>
          <w:szCs w:val="20"/>
        </w:rPr>
        <w:t>Languages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: Learning, </w:t>
      </w:r>
      <w:proofErr w:type="spellStart"/>
      <w:r w:rsidR="00AF0ECF">
        <w:rPr>
          <w:rFonts w:ascii="Arial" w:hAnsi="Arial" w:cs="Arial"/>
          <w:sz w:val="20"/>
          <w:szCs w:val="20"/>
        </w:rPr>
        <w:t>Teaching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0ECF">
        <w:rPr>
          <w:rFonts w:ascii="Arial" w:hAnsi="Arial" w:cs="Arial"/>
          <w:sz w:val="20"/>
          <w:szCs w:val="20"/>
        </w:rPr>
        <w:t>Assessment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5E13F8">
      <w:pPr>
        <w:numPr>
          <w:ilvl w:val="0"/>
          <w:numId w:val="13"/>
        </w:numPr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282202">
      <w:pPr>
        <w:numPr>
          <w:ilvl w:val="0"/>
          <w:numId w:val="12"/>
        </w:numPr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5E0B27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87166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A334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 xml:space="preserve">wymogi określone w ustawie o </w:t>
      </w:r>
      <w:r w:rsidR="001B6DAF">
        <w:rPr>
          <w:rFonts w:ascii="Arial" w:hAnsi="Arial" w:cs="Arial"/>
          <w:b/>
          <w:sz w:val="20"/>
          <w:szCs w:val="20"/>
        </w:rPr>
        <w:lastRenderedPageBreak/>
        <w:t>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A33470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69048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1B1D53">
      <w:pPr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5E0B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57C631E1" w14:textId="18B2C2E9" w:rsidR="005E0B27" w:rsidRDefault="00301B92" w:rsidP="006B19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8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 xml:space="preserve">znajduje się również na stronie </w:t>
      </w:r>
      <w:r w:rsidR="008F671D">
        <w:rPr>
          <w:rFonts w:ascii="Arial" w:hAnsi="Arial" w:cs="Arial"/>
          <w:sz w:val="20"/>
          <w:szCs w:val="20"/>
        </w:rPr>
        <w:lastRenderedPageBreak/>
        <w:t>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p w14:paraId="1AA28EC7" w14:textId="77777777" w:rsidR="005E0B27" w:rsidRDefault="005E0B27" w:rsidP="006B19E4">
      <w:pPr>
        <w:jc w:val="both"/>
        <w:rPr>
          <w:rFonts w:ascii="Arial" w:hAnsi="Arial" w:cs="Arial"/>
          <w:sz w:val="20"/>
          <w:szCs w:val="20"/>
        </w:rPr>
      </w:pP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2"/>
        <w:gridCol w:w="845"/>
        <w:gridCol w:w="735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99A9" w14:textId="77777777" w:rsidR="0066405C" w:rsidRDefault="0066405C" w:rsidP="000F2AE3">
      <w:pPr>
        <w:spacing w:after="0" w:line="240" w:lineRule="auto"/>
      </w:pPr>
      <w:r>
        <w:separator/>
      </w:r>
    </w:p>
  </w:endnote>
  <w:endnote w:type="continuationSeparator" w:id="0">
    <w:p w14:paraId="0B919C4C" w14:textId="77777777" w:rsidR="0066405C" w:rsidRDefault="0066405C" w:rsidP="000F2AE3">
      <w:pPr>
        <w:spacing w:after="0" w:line="240" w:lineRule="auto"/>
      </w:pPr>
      <w:r>
        <w:continuationSeparator/>
      </w:r>
    </w:p>
  </w:endnote>
  <w:endnote w:type="continuationNotice" w:id="1">
    <w:p w14:paraId="00E7C717" w14:textId="77777777" w:rsidR="0066405C" w:rsidRDefault="00664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72856"/>
      <w:docPartObj>
        <w:docPartGallery w:val="Page Numbers (Bottom of Page)"/>
        <w:docPartUnique/>
      </w:docPartObj>
    </w:sdtPr>
    <w:sdtContent>
      <w:p w14:paraId="250B73A5" w14:textId="754C525C" w:rsidR="00DD0002" w:rsidRDefault="00DD00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E2AC0AE" w14:textId="77777777" w:rsidR="00DD0002" w:rsidRDefault="00DD0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805D4" w14:textId="77777777" w:rsidR="0066405C" w:rsidRDefault="0066405C" w:rsidP="000F2AE3">
      <w:pPr>
        <w:spacing w:after="0" w:line="240" w:lineRule="auto"/>
      </w:pPr>
      <w:r>
        <w:separator/>
      </w:r>
    </w:p>
  </w:footnote>
  <w:footnote w:type="continuationSeparator" w:id="0">
    <w:p w14:paraId="2BF6D61A" w14:textId="77777777" w:rsidR="0066405C" w:rsidRDefault="0066405C" w:rsidP="000F2AE3">
      <w:pPr>
        <w:spacing w:after="0" w:line="240" w:lineRule="auto"/>
      </w:pPr>
      <w:r>
        <w:continuationSeparator/>
      </w:r>
    </w:p>
  </w:footnote>
  <w:footnote w:type="continuationNotice" w:id="1">
    <w:p w14:paraId="56A3D314" w14:textId="77777777" w:rsidR="0066405C" w:rsidRDefault="0066405C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85121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405C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43C3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0002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FD857A23-111C-4E32-951B-4BEAFBB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C95F-F420-4077-9CCC-E0BD9D15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3375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23581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Mrozik</dc:creator>
  <cp:lastModifiedBy>Monika Cybulska</cp:lastModifiedBy>
  <cp:revision>3</cp:revision>
  <cp:lastPrinted>2016-11-10T11:44:00Z</cp:lastPrinted>
  <dcterms:created xsi:type="dcterms:W3CDTF">2017-06-05T09:59:00Z</dcterms:created>
  <dcterms:modified xsi:type="dcterms:W3CDTF">2017-06-05T10:02:00Z</dcterms:modified>
</cp:coreProperties>
</file>