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="0088546D">
        <w:rPr>
          <w:rFonts w:ascii="Arial" w:hAnsi="Arial" w:cs="Arial"/>
          <w:b/>
          <w:sz w:val="24"/>
          <w:szCs w:val="24"/>
        </w:rPr>
        <w:t>a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1762D" w:rsidRPr="0031762D" w:rsidRDefault="0031762D" w:rsidP="0031762D">
          <w:pPr>
            <w:pStyle w:val="Nagwekspisutreci"/>
            <w:numPr>
              <w:ilvl w:val="0"/>
              <w:numId w:val="0"/>
            </w:numPr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:rsidR="00640710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bookmarkStart w:id="0" w:name="_GoBack"/>
          <w:bookmarkEnd w:id="0"/>
          <w:r w:rsidR="00640710" w:rsidRPr="00573C89">
            <w:rPr>
              <w:rStyle w:val="Hipercze"/>
              <w:noProof/>
            </w:rPr>
            <w:fldChar w:fldCharType="begin"/>
          </w:r>
          <w:r w:rsidR="00640710" w:rsidRPr="00573C89">
            <w:rPr>
              <w:rStyle w:val="Hipercze"/>
              <w:noProof/>
            </w:rPr>
            <w:instrText xml:space="preserve"> </w:instrText>
          </w:r>
          <w:r w:rsidR="00640710">
            <w:rPr>
              <w:noProof/>
            </w:rPr>
            <w:instrText>HYPERLINK \l "_Toc149213056"</w:instrText>
          </w:r>
          <w:r w:rsidR="00640710" w:rsidRPr="00573C89">
            <w:rPr>
              <w:rStyle w:val="Hipercze"/>
              <w:noProof/>
            </w:rPr>
            <w:instrText xml:space="preserve"> </w:instrText>
          </w:r>
          <w:r w:rsidR="00640710" w:rsidRPr="00573C89">
            <w:rPr>
              <w:rStyle w:val="Hipercze"/>
              <w:noProof/>
            </w:rPr>
          </w:r>
          <w:r w:rsidR="00640710" w:rsidRPr="00573C89">
            <w:rPr>
              <w:rStyle w:val="Hipercze"/>
              <w:noProof/>
            </w:rPr>
            <w:fldChar w:fldCharType="separate"/>
          </w:r>
          <w:r w:rsidR="00640710" w:rsidRPr="00573C89">
            <w:rPr>
              <w:rStyle w:val="Hipercze"/>
              <w:noProof/>
            </w:rPr>
            <w:t>I.</w:t>
          </w:r>
          <w:r w:rsidR="00640710"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 w:rsidR="00640710" w:rsidRPr="00573C89">
            <w:rPr>
              <w:rStyle w:val="Hipercze"/>
              <w:bCs/>
              <w:noProof/>
            </w:rPr>
            <w:t>Wariant I</w:t>
          </w:r>
          <w:r w:rsidR="00640710" w:rsidRPr="00573C89">
            <w:rPr>
              <w:rStyle w:val="Hipercze"/>
              <w:noProof/>
            </w:rPr>
            <w:t>: analiza ekonomiczna projektu</w:t>
          </w:r>
          <w:r w:rsidR="00640710">
            <w:rPr>
              <w:noProof/>
              <w:webHidden/>
            </w:rPr>
            <w:tab/>
          </w:r>
          <w:r w:rsidR="00640710">
            <w:rPr>
              <w:noProof/>
              <w:webHidden/>
            </w:rPr>
            <w:fldChar w:fldCharType="begin"/>
          </w:r>
          <w:r w:rsidR="00640710">
            <w:rPr>
              <w:noProof/>
              <w:webHidden/>
            </w:rPr>
            <w:instrText xml:space="preserve"> PAGEREF _Toc149213056 \h </w:instrText>
          </w:r>
          <w:r w:rsidR="00640710">
            <w:rPr>
              <w:noProof/>
              <w:webHidden/>
            </w:rPr>
          </w:r>
          <w:r w:rsidR="00640710">
            <w:rPr>
              <w:noProof/>
              <w:webHidden/>
            </w:rPr>
            <w:fldChar w:fldCharType="separate"/>
          </w:r>
          <w:r w:rsidR="00640710">
            <w:rPr>
              <w:noProof/>
              <w:webHidden/>
            </w:rPr>
            <w:t>3</w:t>
          </w:r>
          <w:r w:rsidR="00640710">
            <w:rPr>
              <w:noProof/>
              <w:webHidden/>
            </w:rPr>
            <w:fldChar w:fldCharType="end"/>
          </w:r>
          <w:r w:rsidR="00640710" w:rsidRPr="00573C89">
            <w:rPr>
              <w:rStyle w:val="Hipercze"/>
              <w:noProof/>
            </w:rPr>
            <w:fldChar w:fldCharType="end"/>
          </w:r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57" w:history="1">
            <w:r w:rsidRPr="00573C89">
              <w:rPr>
                <w:rStyle w:val="Hipercze"/>
                <w:noProof/>
              </w:rPr>
              <w:t>Informacje podstawowe.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58" w:history="1">
            <w:r w:rsidRPr="00573C89">
              <w:rPr>
                <w:rStyle w:val="Hipercze"/>
                <w:noProof/>
              </w:rPr>
              <w:t>Tabela 1. Analiza kosztów i korzyści (</w:t>
            </w:r>
            <w:r w:rsidRPr="00573C89">
              <w:rPr>
                <w:rStyle w:val="Hipercze"/>
                <w:i/>
                <w:iCs/>
                <w:noProof/>
              </w:rPr>
              <w:t>Cost-Benefit Analysis – CBA</w:t>
            </w:r>
            <w:r w:rsidRPr="00573C89">
              <w:rPr>
                <w:rStyle w:val="Hipercze"/>
                <w:noProof/>
              </w:rPr>
              <w:t>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59" w:history="1">
            <w:r w:rsidRPr="00573C89">
              <w:rPr>
                <w:rStyle w:val="Hipercze"/>
                <w:noProof/>
              </w:rPr>
              <w:t>Tabela 2. Analiza finansowa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0" w:history="1">
            <w:r w:rsidRPr="00573C89">
              <w:rPr>
                <w:rStyle w:val="Hipercze"/>
                <w:noProof/>
              </w:rPr>
              <w:t>Tabela 3. Uproszczony budżet jednostki samorządu terytorialnego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1" w:history="1">
            <w:r w:rsidRPr="00573C89">
              <w:rPr>
                <w:rStyle w:val="Hipercze"/>
                <w:noProof/>
              </w:rPr>
              <w:t>Tabela 4. Bilans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2" w:history="1">
            <w:r w:rsidRPr="00573C89">
              <w:rPr>
                <w:rStyle w:val="Hipercze"/>
                <w:noProof/>
              </w:rPr>
              <w:t>Tabela 5. Rachunek zysków i strat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3" w:history="1">
            <w:r w:rsidRPr="00573C89">
              <w:rPr>
                <w:rStyle w:val="Hipercze"/>
                <w:noProof/>
              </w:rPr>
              <w:t>Tabela 6. Rachunek przepływów pieniężnych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4" w:history="1">
            <w:r w:rsidRPr="00573C89">
              <w:rPr>
                <w:rStyle w:val="Hipercze"/>
                <w:noProof/>
              </w:rPr>
              <w:t>Tabela 7. Analiza wskaźnikowa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5" w:history="1">
            <w:r w:rsidRPr="00573C89">
              <w:rPr>
                <w:rStyle w:val="Hipercze"/>
                <w:noProof/>
              </w:rPr>
              <w:t>Tabela 8. Bilans uproszczony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6" w:history="1">
            <w:r w:rsidRPr="00573C89">
              <w:rPr>
                <w:rStyle w:val="Hipercze"/>
                <w:noProof/>
              </w:rPr>
              <w:t>Tabela 9. Rachunek zysków i strat uproszczony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7" w:history="1">
            <w:r w:rsidRPr="00573C89">
              <w:rPr>
                <w:rStyle w:val="Hipercze"/>
                <w:noProof/>
              </w:rPr>
              <w:t>Tabela 10. Analiza wskaźnikowa uproszczona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49213068" w:history="1">
            <w:r w:rsidRPr="00573C89">
              <w:rPr>
                <w:rStyle w:val="Hipercze"/>
                <w:noProof/>
              </w:rPr>
              <w:t>II.</w:t>
            </w:r>
            <w:r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Pr="00573C89">
              <w:rPr>
                <w:rStyle w:val="Hipercze"/>
                <w:noProof/>
              </w:rPr>
              <w:t>Wariant II: ocena ekonomiczno-finansowa przedsiębiorcy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9" w:history="1">
            <w:r w:rsidRPr="00573C89">
              <w:rPr>
                <w:rStyle w:val="Hipercze"/>
                <w:noProof/>
              </w:rPr>
              <w:t>Informacje podstawowe.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70" w:history="1">
            <w:r w:rsidRPr="00573C89">
              <w:rPr>
                <w:rStyle w:val="Hipercze"/>
                <w:noProof/>
              </w:rPr>
              <w:t>Tabela 1. Bilans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71" w:history="1">
            <w:r w:rsidRPr="00573C89">
              <w:rPr>
                <w:rStyle w:val="Hipercze"/>
                <w:noProof/>
              </w:rPr>
              <w:t>Tabela 2. Rachunek zysków i strat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72" w:history="1">
            <w:r w:rsidRPr="00573C89">
              <w:rPr>
                <w:rStyle w:val="Hipercze"/>
                <w:noProof/>
              </w:rPr>
              <w:t>Tabela 3. Rachunek przepływów pieniężnych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73" w:history="1">
            <w:r w:rsidRPr="00573C89">
              <w:rPr>
                <w:rStyle w:val="Hipercze"/>
                <w:noProof/>
              </w:rPr>
              <w:t>Tabela 4. Analiza wskaźnikowa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74" w:history="1">
            <w:r w:rsidRPr="00573C89">
              <w:rPr>
                <w:rStyle w:val="Hipercze"/>
                <w:noProof/>
              </w:rPr>
              <w:t>Tabela 5. Bilans uproszczony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75" w:history="1">
            <w:r w:rsidRPr="00573C89">
              <w:rPr>
                <w:rStyle w:val="Hipercze"/>
                <w:noProof/>
              </w:rPr>
              <w:t>Tabela 6. Rachunek zysków i strat uproszczony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0710" w:rsidRDefault="006407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76" w:history="1">
            <w:r w:rsidRPr="00573C89">
              <w:rPr>
                <w:rStyle w:val="Hipercze"/>
                <w:noProof/>
              </w:rPr>
              <w:t>Tabela 7. Analiza wskaźnikowa uproszczona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_Toc149213076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BB531F" w:rsidRDefault="00BB531F">
      <w:pPr>
        <w:rPr>
          <w:rFonts w:ascii="Arial" w:hAnsi="Arial" w:cs="Arial"/>
          <w:i/>
          <w:color w:val="FF0000"/>
          <w:sz w:val="28"/>
          <w:szCs w:val="24"/>
        </w:rPr>
      </w:pPr>
      <w:r>
        <w:rPr>
          <w:rFonts w:ascii="Arial" w:hAnsi="Arial" w:cs="Arial"/>
          <w:i/>
          <w:color w:val="FF0000"/>
          <w:sz w:val="28"/>
          <w:szCs w:val="24"/>
        </w:rPr>
        <w:br w:type="page"/>
      </w:r>
    </w:p>
    <w:p w:rsidR="00640E35" w:rsidRDefault="00640E35" w:rsidP="00110736">
      <w:pPr>
        <w:pStyle w:val="Nagwek1"/>
      </w:pPr>
      <w:bookmarkStart w:id="1" w:name="_Toc149213056"/>
      <w:r w:rsidRPr="00640E35">
        <w:rPr>
          <w:bCs/>
        </w:rPr>
        <w:lastRenderedPageBreak/>
        <w:t>Wariant I</w:t>
      </w:r>
      <w:r w:rsidRPr="00640E35">
        <w:t>: analiza ekonomiczna projektu</w:t>
      </w:r>
      <w:bookmarkEnd w:id="1"/>
    </w:p>
    <w:p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r w:rsidRPr="00640E35">
        <w:rPr>
          <w:rFonts w:ascii="Arial" w:hAnsi="Arial" w:cs="Arial"/>
          <w:i/>
          <w:iCs/>
          <w:sz w:val="24"/>
          <w:szCs w:val="24"/>
        </w:rPr>
        <w:t>Cost-Benefit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:rsidR="00B86656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:rsidR="00B86656" w:rsidRPr="00B86656" w:rsidRDefault="00640E35" w:rsidP="00697FA5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:rsidR="0075026F" w:rsidRPr="00B86656" w:rsidRDefault="0075026F" w:rsidP="00B86656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Przed rozpoczęciem wypełniania arkusza sprawdź czy są włączone makra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Pr="00B86656">
        <w:rPr>
          <w:rFonts w:ascii="Arial" w:hAnsi="Arial" w:cs="Arial"/>
          <w:color w:val="FF0000"/>
          <w:sz w:val="24"/>
          <w:szCs w:val="24"/>
        </w:rPr>
        <w:t xml:space="preserve">(w przypadku wyłączenia pojawi się żółty pasek na górze ekranu z informacją </w:t>
      </w:r>
      <w:r w:rsidRPr="00B86656">
        <w:rPr>
          <w:rFonts w:ascii="Arial" w:hAnsi="Arial" w:cs="Arial"/>
          <w:i/>
          <w:color w:val="FF0000"/>
          <w:sz w:val="24"/>
          <w:szCs w:val="24"/>
        </w:rPr>
        <w:t>OSTRZEŻENIE O ZABEZPIECZENIACH Makra zostały wyłączone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.) </w:t>
      </w:r>
      <w:r w:rsidRPr="00B86656">
        <w:rPr>
          <w:rFonts w:ascii="Arial" w:hAnsi="Arial" w:cs="Arial"/>
          <w:b/>
          <w:color w:val="FF0000"/>
          <w:sz w:val="24"/>
          <w:szCs w:val="24"/>
        </w:rPr>
        <w:t>Kliknij Włącz zawartość.</w:t>
      </w:r>
    </w:p>
    <w:p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:rsidR="00B86656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lastRenderedPageBreak/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:rsidR="002532FD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RZiS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:rsidR="002532FD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RZiS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lastRenderedPageBreak/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 okres</w:t>
      </w:r>
      <w:r w:rsidR="00B86656"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:rsidR="00640E35" w:rsidRPr="00640E35" w:rsidRDefault="00640E35" w:rsidP="005434C6">
      <w:pPr>
        <w:pStyle w:val="Nagwek2"/>
      </w:pPr>
      <w:bookmarkStart w:id="2" w:name="_Toc149213057"/>
      <w:r w:rsidRPr="00B86656">
        <w:t>Informacje</w:t>
      </w:r>
      <w:r w:rsidRPr="00640E35">
        <w:t xml:space="preserve"> podstawowe.</w:t>
      </w:r>
      <w:bookmarkEnd w:id="2"/>
    </w:p>
    <w:p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Czy wnioskodawca prowadzi pełną księgowość (Tak/Nie), dla odpowiedzi tak wnioskodawca wypełnia łącznie 7 arkuszy, dla odpowiedzi nie wnioskodawca wypełnia łącznie 6 arkuszy,</w:t>
      </w:r>
    </w:p>
    <w:p w:rsidR="00F868C4" w:rsidRPr="00640E35" w:rsidRDefault="00F868C4" w:rsidP="00F868C4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o dofinansowanie lub rok wskazany w dokumentacji naboru. </w:t>
      </w:r>
      <w:r>
        <w:rPr>
          <w:rFonts w:ascii="Arial" w:hAnsi="Arial" w:cs="Arial"/>
          <w:sz w:val="24"/>
          <w:szCs w:val="24"/>
        </w:rPr>
        <w:br/>
        <w:t>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(okres realizacji i trwałości projektu) – wybór z rozwijanej listy z liczbą w przedziale 1-30, pole jest podstawą dla dalszych obliczeń,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:rsid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:rsidR="00B86656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lastRenderedPageBreak/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Komentarz – w przypadku niepokrywającego się roku obrachunkowego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:rsidR="00640E35" w:rsidRPr="00694EDD" w:rsidRDefault="00640E35" w:rsidP="005434C6">
      <w:pPr>
        <w:pStyle w:val="Nagwek2"/>
      </w:pPr>
      <w:bookmarkStart w:id="3" w:name="_Toc149213058"/>
      <w:r w:rsidRPr="00694EDD">
        <w:t>Tabela 1. Analiza kosztów i korzyści (</w:t>
      </w:r>
      <w:r w:rsidRPr="00694EDD">
        <w:rPr>
          <w:i/>
          <w:iCs/>
        </w:rPr>
        <w:t>Cost-Benefit Analysis – CBA</w:t>
      </w:r>
      <w:r w:rsidRPr="00694EDD">
        <w:t>)</w:t>
      </w:r>
      <w:r>
        <w:t>.</w:t>
      </w:r>
      <w:bookmarkEnd w:id="3"/>
    </w:p>
    <w:p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r w:rsidRPr="0058644E">
        <w:rPr>
          <w:rFonts w:ascii="Arial" w:hAnsi="Arial" w:cs="Arial"/>
          <w:i/>
          <w:iCs/>
          <w:sz w:val="24"/>
          <w:szCs w:val="24"/>
        </w:rPr>
        <w:t>Cost-Benefit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:rsidR="00640E35" w:rsidRPr="00694EDD" w:rsidRDefault="00640E35" w:rsidP="005434C6">
      <w:pPr>
        <w:pStyle w:val="Nagwek2"/>
      </w:pPr>
      <w:bookmarkStart w:id="4" w:name="_Toc149213059"/>
      <w:r w:rsidRPr="00694EDD">
        <w:lastRenderedPageBreak/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4"/>
    </w:p>
    <w:p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przygotowania projektu: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 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realizacji projektu: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 ogółem: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ogółem: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 materiałów i energii,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 obce,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 i opłaty,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ynagrodzenia,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 społeczne i inne świadczenia,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 koszty rodzajowe,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sprzedanych towarów i materiałów,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ysk/strata netto,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 razem,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 pieniężne na początek okresu,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rezydualna,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 nakłady inwestycyjne,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działalności operacyjnej,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 finansowania: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ofinansowanie UE,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w kosztach kwalifikowanych,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niekwalifikowanych,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funkcjonowania ze środków własnych,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bez amortyzacji,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finansowe,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 kredytów/pożyczek,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projektu,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 poziom dofinansowania (w %),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projektu ogółem,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kwalifikowany,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niekwalifikowany,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 planowanego dofinansowania projektu.</w:t>
      </w:r>
    </w:p>
    <w:p w:rsidR="00640E35" w:rsidRPr="00694EDD" w:rsidRDefault="00640E35" w:rsidP="005434C6">
      <w:pPr>
        <w:pStyle w:val="Nagwek2"/>
      </w:pPr>
      <w:bookmarkStart w:id="5" w:name="_Toc149213060"/>
      <w:r w:rsidRPr="00694EDD">
        <w:lastRenderedPageBreak/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5"/>
    </w:p>
    <w:p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o historycznym wykonaniu budżetu w formie uproszczonej oraz prognozach (zgodnych z wieloletnią prognozą finansową) na okres realizacji i trwałości projektu. </w:t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bieżące – zgodnie ze sprawozdawczością finansową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majątkowe – wydatki związane z utrzymaniem posiadanego majątku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:rsidR="00640E35" w:rsidRPr="00694EDD" w:rsidRDefault="00640E35" w:rsidP="005434C6">
      <w:pPr>
        <w:pStyle w:val="Nagwek2"/>
      </w:pPr>
      <w:bookmarkStart w:id="6" w:name="_Toc149213061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6"/>
    </w:p>
    <w:p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Maszyny i urządzenia techniczne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Kredyty i pożyczki – krótkoterminowe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:rsidR="00640E35" w:rsidRPr="00E53AA1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dotacje – zgodnie ze sprawozdaniami finansowymi.</w:t>
      </w:r>
    </w:p>
    <w:p w:rsidR="00640E35" w:rsidRPr="00694EDD" w:rsidRDefault="00640E35" w:rsidP="005434C6">
      <w:pPr>
        <w:pStyle w:val="Nagwek2"/>
      </w:pPr>
      <w:bookmarkStart w:id="7" w:name="_Toc149213062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7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F868C4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Wynagrodzenia i pochodne (ubezpieczenia społeczne i inne świadczenia na rzecz pracowników)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finansowe – zgodnie ze sprawozdaniami finansowymi:</w:t>
      </w:r>
    </w:p>
    <w:p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od kredytów i pożyczek,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:rsidR="00640E35" w:rsidRPr="00694EDD" w:rsidRDefault="00640E35" w:rsidP="005434C6">
      <w:pPr>
        <w:pStyle w:val="Nagwek2"/>
      </w:pPr>
      <w:bookmarkStart w:id="8" w:name="_Toc149213063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8"/>
    </w:p>
    <w:p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 na okres realizacji i trwałości projektu. </w:t>
      </w:r>
    </w:p>
    <w:p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zapasów, 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należności, 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korekty,</w:t>
      </w:r>
    </w:p>
    <w:p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inwestycyjne,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aktywa finansowe,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inwestycyjne,</w:t>
      </w:r>
    </w:p>
    <w:p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od właścicieli (dopłaty do kapitału),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 i pożyczki,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finansowe,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rzecz właścicieli (dywidendy i inne wypłaty),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 kredytów i pożyczek:</w:t>
      </w:r>
    </w:p>
    <w:p w:rsidR="00640E35" w:rsidRPr="00640E35" w:rsidRDefault="00640E35" w:rsidP="00697FA5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długoterminowych,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finansowe,</w:t>
      </w:r>
    </w:p>
    <w:p w:rsidR="00640E35" w:rsidRPr="00F05773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Środki pieniężne na początek okresu – stan środków pieniężnych na początek okresu sprawozdawczego zgodnie ze sprawozdaniami finansowymi.</w:t>
      </w:r>
    </w:p>
    <w:p w:rsidR="00640E35" w:rsidRPr="00694EDD" w:rsidRDefault="00640E35" w:rsidP="005434C6">
      <w:pPr>
        <w:pStyle w:val="Nagwek2"/>
      </w:pPr>
      <w:bookmarkStart w:id="9" w:name="_Toc149213064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9"/>
    </w:p>
    <w:p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:rsidR="00640E35" w:rsidRPr="00694EDD" w:rsidRDefault="00640E35" w:rsidP="005434C6">
      <w:pPr>
        <w:pStyle w:val="Nagwek2"/>
      </w:pPr>
      <w:bookmarkStart w:id="10" w:name="_Toc149213065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10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ieruchomości,</w:t>
      </w:r>
    </w:p>
    <w:p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 i urządzeń,</w:t>
      </w:r>
    </w:p>
    <w:p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 transportu,</w:t>
      </w:r>
    </w:p>
    <w:p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 xml:space="preserve">nnych, 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:rsidR="00640E35" w:rsidRPr="00F05773" w:rsidRDefault="002A7E5B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:rsid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:rsidR="00640E35" w:rsidRP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:rsidR="00640E35" w:rsidRPr="00694EDD" w:rsidRDefault="00640E35" w:rsidP="005434C6">
      <w:pPr>
        <w:pStyle w:val="Nagwek2"/>
      </w:pPr>
      <w:bookmarkStart w:id="11" w:name="_Toc149213066"/>
      <w:r w:rsidRPr="00694EDD">
        <w:lastRenderedPageBreak/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1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 towarów handlowych i materiałów,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uboczne zakupu,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reprezentacji i reklamy objęte limitem,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 z narzutami,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 wydatki, w tym:</w:t>
      </w:r>
    </w:p>
    <w:p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amortyzację,</w:t>
      </w:r>
    </w:p>
    <w:p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odsetki od kredytów,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początkowy,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końcowy,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:rsidR="00640E35" w:rsidRPr="00694EDD" w:rsidRDefault="00640E35" w:rsidP="005434C6">
      <w:pPr>
        <w:pStyle w:val="Nagwek2"/>
      </w:pPr>
      <w:bookmarkStart w:id="12" w:name="_Toc149213067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2"/>
    </w:p>
    <w:p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lastRenderedPageBreak/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:rsidR="00BB531F" w:rsidRDefault="00BB531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:rsidR="00F05773" w:rsidRDefault="00F05773" w:rsidP="00F05773">
      <w:pPr>
        <w:pStyle w:val="Nagwek1"/>
      </w:pPr>
      <w:bookmarkStart w:id="13" w:name="_Toc149213068"/>
      <w:r w:rsidRPr="00F05773">
        <w:lastRenderedPageBreak/>
        <w:t>Wariant II: ocena ekonomiczno-finansowa przedsiębiorcy</w:t>
      </w:r>
      <w:bookmarkEnd w:id="13"/>
    </w:p>
    <w:p w:rsidR="00F05773" w:rsidRPr="00F05773" w:rsidRDefault="00F05773" w:rsidP="00F057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Szablon dla Wariantu </w:t>
      </w:r>
      <w:r w:rsidR="000C4AE2"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>I składa się z ośmiu arkuszy: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Informacje podstawowe,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1. Bilans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4. Analiza wskaźnikowa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5. Bilans uproszczony bez uwzględnienia projektu,</w:t>
      </w:r>
    </w:p>
    <w:p w:rsidR="0058644E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:rsidR="00F05773" w:rsidRPr="0058644E" w:rsidRDefault="00F05773" w:rsidP="00697FA5">
      <w:pPr>
        <w:pStyle w:val="Akapitzlist"/>
        <w:numPr>
          <w:ilvl w:val="0"/>
          <w:numId w:val="1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Tabela 7. Analiza wskaźnikowa uproszczona bez uwzględnienia projektu.</w:t>
      </w:r>
    </w:p>
    <w:p w:rsidR="0075026F" w:rsidRPr="0075026F" w:rsidRDefault="0075026F" w:rsidP="0075026F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75026F">
        <w:rPr>
          <w:rFonts w:ascii="Arial" w:hAnsi="Arial" w:cs="Arial"/>
          <w:color w:val="FF0000"/>
          <w:sz w:val="24"/>
          <w:szCs w:val="24"/>
        </w:rPr>
        <w:t xml:space="preserve">Przed rozpoczęciem wypełniania arkusza sprawdź czy są włączone makra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75026F">
        <w:rPr>
          <w:rFonts w:ascii="Arial" w:hAnsi="Arial" w:cs="Arial"/>
          <w:color w:val="FF0000"/>
          <w:sz w:val="24"/>
          <w:szCs w:val="24"/>
        </w:rPr>
        <w:t xml:space="preserve">(w przypadku wyłączenia pojawi się żółty pasek na górze ekranu z informacją </w:t>
      </w:r>
      <w:r w:rsidRPr="0075026F">
        <w:rPr>
          <w:rFonts w:ascii="Arial" w:hAnsi="Arial" w:cs="Arial"/>
          <w:i/>
          <w:color w:val="FF0000"/>
          <w:sz w:val="24"/>
          <w:szCs w:val="24"/>
        </w:rPr>
        <w:t>OSTRZEŻENIE O ZABEZPIECZENIACH Makra zostały wyłączone</w:t>
      </w:r>
      <w:r w:rsidRPr="0075026F">
        <w:rPr>
          <w:rFonts w:ascii="Arial" w:hAnsi="Arial" w:cs="Arial"/>
          <w:color w:val="FF0000"/>
          <w:sz w:val="24"/>
          <w:szCs w:val="24"/>
        </w:rPr>
        <w:t xml:space="preserve">.) </w:t>
      </w:r>
      <w:r w:rsidRPr="0075026F">
        <w:rPr>
          <w:rFonts w:ascii="Arial" w:hAnsi="Arial" w:cs="Arial"/>
          <w:b/>
          <w:color w:val="FF0000"/>
          <w:sz w:val="24"/>
          <w:szCs w:val="24"/>
        </w:rPr>
        <w:t>Kliknij Włącz zawartość.</w:t>
      </w:r>
    </w:p>
    <w:p w:rsidR="00F05773" w:rsidRPr="00F72B63" w:rsidRDefault="00F05773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F72B63">
        <w:rPr>
          <w:rFonts w:ascii="Arial" w:hAnsi="Arial" w:cs="Arial"/>
          <w:b/>
          <w:sz w:val="24"/>
          <w:szCs w:val="24"/>
        </w:rPr>
        <w:t>nieuwzględniającego</w:t>
      </w:r>
      <w:r w:rsidRPr="00F72B63">
        <w:rPr>
          <w:rFonts w:ascii="Arial" w:hAnsi="Arial" w:cs="Arial"/>
          <w:b/>
          <w:sz w:val="24"/>
          <w:szCs w:val="24"/>
        </w:rPr>
        <w:t xml:space="preserve"> przyznanie projektu.</w:t>
      </w:r>
    </w:p>
    <w:p w:rsidR="00F05773" w:rsidRDefault="00F05773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Wszyscy wnioskodawcy</w:t>
      </w:r>
      <w:r w:rsidRPr="00F05773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F72B63">
        <w:rPr>
          <w:rFonts w:ascii="Arial" w:hAnsi="Arial" w:cs="Arial"/>
          <w:b/>
          <w:sz w:val="24"/>
          <w:szCs w:val="24"/>
        </w:rPr>
        <w:t>Informacje podstawowe.</w:t>
      </w:r>
    </w:p>
    <w:p w:rsidR="00F72B63" w:rsidRPr="00F72B63" w:rsidRDefault="00F72B63" w:rsidP="00F72B63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Skoroszyt dla wariantu II przygotowany jest do wypełnienia dla</w:t>
      </w:r>
      <w:r>
        <w:rPr>
          <w:rFonts w:ascii="Arial" w:hAnsi="Arial" w:cs="Arial"/>
          <w:sz w:val="24"/>
          <w:szCs w:val="24"/>
        </w:rPr>
        <w:t xml:space="preserve"> dwóch kategorii wnioskodawców:</w:t>
      </w:r>
    </w:p>
    <w:p w:rsidR="00F72B63" w:rsidRPr="002532FD" w:rsidRDefault="00F72B63" w:rsidP="00F72B63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:rsidR="0058644E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wypełni</w:t>
      </w:r>
      <w:r w:rsidR="004E5035">
        <w:rPr>
          <w:rFonts w:ascii="Arial" w:hAnsi="Arial" w:cs="Arial"/>
          <w:color w:val="FF0000"/>
          <w:sz w:val="24"/>
          <w:szCs w:val="24"/>
        </w:rPr>
        <w:t>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Bilans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bez uwzględnienia projektu;</w:t>
      </w:r>
    </w:p>
    <w:p w:rsid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RZiS - Rachunek zysków i strat bez uwzględniania projektu;</w:t>
      </w:r>
    </w:p>
    <w:p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CF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- Rachunek przepływów pieniężnych bez uwzględniania projektu;</w:t>
      </w:r>
    </w:p>
    <w:p w:rsidR="00F72B63" w:rsidRP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Analiza wskaźnikowa bez uwzględniania projektu;</w:t>
      </w:r>
    </w:p>
    <w:p w:rsidR="00F72B63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lastRenderedPageBreak/>
        <w:t xml:space="preserve">Jeżeli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jesteś przedsiębiorstwem lub inną organizacją nieprowadzącą pełnej księgowości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532FD">
        <w:rPr>
          <w:rFonts w:ascii="Arial" w:hAnsi="Arial" w:cs="Arial"/>
          <w:color w:val="FF0000"/>
          <w:sz w:val="24"/>
          <w:szCs w:val="24"/>
        </w:rPr>
        <w:t>po wybraniu opcji „</w:t>
      </w:r>
      <w:r>
        <w:rPr>
          <w:rFonts w:ascii="Arial" w:hAnsi="Arial" w:cs="Arial"/>
          <w:color w:val="FF0000"/>
          <w:sz w:val="24"/>
          <w:szCs w:val="24"/>
        </w:rPr>
        <w:t>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Bilans uproszczony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 bez uwzględniania projektu;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RZiS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- Rachunek zysków i strat uproszczony bez uwzględniania projektu;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F72B63" w:rsidRP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Analiza wskaźnikowa uproszczona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bez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uwzglę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dniania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projektu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kategorii wnioskodawców skoroszyt ukrywa arkusze, które nie będą wypełniane</w:t>
      </w:r>
      <w:r w:rsidRPr="00F05773">
        <w:rPr>
          <w:rFonts w:ascii="Arial" w:hAnsi="Arial" w:cs="Arial"/>
          <w:sz w:val="24"/>
          <w:szCs w:val="24"/>
        </w:rPr>
        <w:t>.</w:t>
      </w:r>
    </w:p>
    <w:p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F05773">
        <w:rPr>
          <w:rFonts w:ascii="Arial" w:hAnsi="Arial" w:cs="Arial"/>
          <w:sz w:val="24"/>
          <w:szCs w:val="24"/>
        </w:rPr>
        <w:t xml:space="preserve"> </w:t>
      </w:r>
    </w:p>
    <w:p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F05773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:rsidR="00C52AEE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E503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F05773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F05773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</w:t>
      </w:r>
      <w:r w:rsidR="00C52AEE" w:rsidRPr="00640E35">
        <w:rPr>
          <w:rFonts w:ascii="Arial" w:hAnsi="Arial" w:cs="Arial"/>
          <w:sz w:val="24"/>
          <w:szCs w:val="24"/>
        </w:rPr>
        <w:t xml:space="preserve"> okres</w:t>
      </w:r>
      <w:r w:rsidR="00C52AEE">
        <w:rPr>
          <w:rFonts w:ascii="Arial" w:hAnsi="Arial" w:cs="Arial"/>
          <w:sz w:val="24"/>
          <w:szCs w:val="24"/>
        </w:rPr>
        <w:t>,</w:t>
      </w:r>
      <w:r w:rsidR="00C52AEE"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:rsidR="00F05773" w:rsidRPr="00286E29" w:rsidRDefault="00F05773" w:rsidP="00F0577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finansowe w tabelach należy podawać </w:t>
      </w:r>
      <w:r w:rsidRPr="00286E29">
        <w:rPr>
          <w:rFonts w:ascii="Arial" w:hAnsi="Arial" w:cs="Arial"/>
          <w:b/>
          <w:sz w:val="24"/>
          <w:szCs w:val="24"/>
        </w:rPr>
        <w:t>w tysiącach złotych, do dwóch miejsc po przecinku.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F05773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:rsidR="00F05773" w:rsidRPr="00F05773" w:rsidRDefault="00F05773" w:rsidP="005434C6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:rsidR="00F05773" w:rsidRPr="00F05773" w:rsidRDefault="00F05773" w:rsidP="005434C6">
      <w:pPr>
        <w:pStyle w:val="Nagwek2"/>
      </w:pPr>
      <w:bookmarkStart w:id="14" w:name="_Toc149213069"/>
      <w:r w:rsidRPr="00F05773">
        <w:t>Informacje podstawowe.</w:t>
      </w:r>
      <w:bookmarkEnd w:id="14"/>
    </w:p>
    <w:p w:rsidR="00F05773" w:rsidRDefault="00F05773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Nazwa wnioskodawcy – pole kopiowane do kolejnych arkuszy,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Numer naboru,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Tytuł projektu,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płatnikiem VAT (Tak/Nie),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przedsiębiorcą (Tak/Nie),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:rsidR="00F868C4" w:rsidRPr="00640E35" w:rsidRDefault="00F868C4" w:rsidP="00F868C4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rozwijanej listy z liczbą w przedzi</w:t>
      </w:r>
      <w:r w:rsidRPr="008D2A37">
        <w:rPr>
          <w:rFonts w:ascii="Arial" w:hAnsi="Arial" w:cs="Arial"/>
          <w:sz w:val="24"/>
          <w:szCs w:val="24"/>
        </w:rPr>
        <w:t>ale 1-30, pole</w:t>
      </w:r>
      <w:r w:rsidRPr="00F05773">
        <w:rPr>
          <w:rFonts w:ascii="Arial" w:hAnsi="Arial" w:cs="Arial"/>
          <w:sz w:val="24"/>
          <w:szCs w:val="24"/>
        </w:rPr>
        <w:t xml:space="preserve"> jest podstawą dla dalszych obliczeń,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240" w:line="360" w:lineRule="auto"/>
        <w:ind w:left="499" w:hanging="357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Komentarz – w przypadku niepokrywającego się roku obrachunkowego z rokiem kalendarzowym, bądź w przypadku roku obrachunkowego dłuższego (krótszego) niż 12 miesięcy.</w:t>
      </w:r>
    </w:p>
    <w:p w:rsidR="00F05773" w:rsidRPr="00F05773" w:rsidRDefault="00F05773" w:rsidP="005434C6">
      <w:pPr>
        <w:pStyle w:val="Nagwek2"/>
      </w:pPr>
      <w:bookmarkStart w:id="15" w:name="_Toc149213070"/>
      <w:r w:rsidRPr="00F05773">
        <w:t>Tabela 1. Bilans bez uwzględnienia projektu.</w:t>
      </w:r>
      <w:bookmarkEnd w:id="15"/>
    </w:p>
    <w:p w:rsidR="00F35946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F05773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:rsidR="00F05773" w:rsidRDefault="00F05773" w:rsidP="008D2A37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Środki transportu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 tym krótkoterminowe rozliczenia międzyokresowe – czynne, zgodnie ze sprawozdaniami finansowymi, dotyczące rozliczeń przyszłych okresów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w okresie krótszym niż 12 miesięcy,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Udziały (akcje) własne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Kapitał własny – zgodnie ze sprawozdaniami finansowymi: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dotacje – zgodnie ze sprawozdaniami finansowymi.</w:t>
      </w:r>
    </w:p>
    <w:p w:rsidR="00F05773" w:rsidRPr="00F05773" w:rsidRDefault="00F05773" w:rsidP="005434C6">
      <w:pPr>
        <w:pStyle w:val="Nagwek2"/>
      </w:pPr>
      <w:bookmarkStart w:id="16" w:name="_Toc149213071"/>
      <w:r w:rsidRPr="00F05773">
        <w:t>Tabela 2. Rachunek zysków i strat bez uwzględnienia projektu.</w:t>
      </w:r>
      <w:bookmarkEnd w:id="16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a niesprzedane wyroby gotowe czy produkcja w toku,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Przychody ze sprzedaży towarów i materiałów – zgodnie ze sprawozdaniami finansowymi, bez sprzedaży produktów i usług,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Usługi obce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Podatki i opłaty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Dotacje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finansowe – dywidendy i udziały w zyskach:</w:t>
      </w:r>
    </w:p>
    <w:p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Koszty finansowe – zgodnie ze sprawozdaniami finansowymi:</w:t>
      </w:r>
    </w:p>
    <w:p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od kredytów i pożyczek,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:rsidR="00F05773" w:rsidRP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:rsidR="00F05773" w:rsidRPr="00F05773" w:rsidRDefault="00F05773" w:rsidP="005434C6">
      <w:pPr>
        <w:pStyle w:val="Nagwek2"/>
      </w:pPr>
      <w:bookmarkStart w:id="17" w:name="_Toc149213072"/>
      <w:r w:rsidRPr="00F05773">
        <w:t>Tabela 3. Rachunek przepływów pieniężnych bez uwzględnienia projektu.</w:t>
      </w:r>
      <w:bookmarkEnd w:id="17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przepływów pieniężnych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Z zakresu przepływów z działalności operacyjnej – przepływy pieniężne netto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8D2A37">
        <w:rPr>
          <w:rFonts w:ascii="Arial" w:hAnsi="Arial" w:cs="Arial"/>
          <w:sz w:val="24"/>
          <w:szCs w:val="24"/>
        </w:rPr>
        <w:t>niepowodujące</w:t>
      </w:r>
      <w:r w:rsidRPr="008D2A37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05773" w:rsidRPr="008D2A37">
        <w:rPr>
          <w:rFonts w:ascii="Arial" w:hAnsi="Arial" w:cs="Arial"/>
          <w:sz w:val="24"/>
          <w:szCs w:val="24"/>
        </w:rPr>
        <w:t>mortyzację,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zapasów, 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należności, 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 xml:space="preserve">i pożyczek, 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nne korekty.</w:t>
      </w:r>
    </w:p>
    <w:p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wydatków):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>i prawne,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inwestycyjne,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aktywa finansowe,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inwestycyjne,</w:t>
      </w:r>
    </w:p>
    <w:p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od właścicieli (dopłaty do kapitału),</w:t>
      </w:r>
      <w:r w:rsidR="008D2A37">
        <w:rPr>
          <w:rFonts w:ascii="Arial" w:hAnsi="Arial" w:cs="Arial"/>
          <w:sz w:val="24"/>
          <w:szCs w:val="24"/>
        </w:rPr>
        <w:tab/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redyty i pożyczki,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F05773" w:rsidRPr="008D2A37">
        <w:rPr>
          <w:rFonts w:ascii="Arial" w:hAnsi="Arial" w:cs="Arial"/>
          <w:sz w:val="24"/>
          <w:szCs w:val="24"/>
        </w:rPr>
        <w:t>otacje,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finansowe,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rzecz właścicieli (dywidendy i inne wypłaty),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F05773" w:rsidRPr="008D2A37">
        <w:rPr>
          <w:rFonts w:ascii="Arial" w:hAnsi="Arial" w:cs="Arial"/>
          <w:sz w:val="24"/>
          <w:szCs w:val="24"/>
        </w:rPr>
        <w:t>płatę kredytów i pożyczek:</w:t>
      </w:r>
    </w:p>
    <w:p w:rsidR="008D2A37" w:rsidRDefault="00F05773" w:rsidP="00697FA5">
      <w:pPr>
        <w:pStyle w:val="Akapitzlist"/>
        <w:numPr>
          <w:ilvl w:val="2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długoterminowych,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finansowe,</w:t>
      </w:r>
    </w:p>
    <w:p w:rsidR="00F05773" w:rsidRP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:rsidR="00F05773" w:rsidRPr="00F05773" w:rsidRDefault="00F05773" w:rsidP="005434C6">
      <w:pPr>
        <w:pStyle w:val="Nagwek2"/>
      </w:pPr>
      <w:bookmarkStart w:id="18" w:name="_Toc149213073"/>
      <w:r w:rsidRPr="00F05773">
        <w:t>Tabela 4. Analiza wskaźnikowa bez uwzględnienia projektu.</w:t>
      </w:r>
      <w:bookmarkEnd w:id="18"/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prowadzących pełną księgowość.</w:t>
      </w:r>
      <w:r w:rsidRPr="008D2A37">
        <w:rPr>
          <w:rFonts w:ascii="Arial" w:hAnsi="Arial" w:cs="Arial"/>
          <w:sz w:val="24"/>
          <w:szCs w:val="24"/>
        </w:rPr>
        <w:t xml:space="preserve"> Brak wypełnianych pól.</w:t>
      </w:r>
    </w:p>
    <w:p w:rsidR="00F05773" w:rsidRPr="00F05773" w:rsidRDefault="00F05773" w:rsidP="005434C6">
      <w:pPr>
        <w:pStyle w:val="Nagwek2"/>
      </w:pPr>
      <w:bookmarkStart w:id="19" w:name="_Toc149213074"/>
      <w:r w:rsidRPr="00F05773">
        <w:t>Tabela 5. Bilans uproszczony bez uwzględnienia projektu.</w:t>
      </w:r>
      <w:bookmarkEnd w:id="19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Jest oparty na danych z Podatkowej Książki Przychodów i Rozchodów (jak też innych uproszczonych form rozliczenia prowadzonej działalności). 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ieruchomości,</w:t>
      </w:r>
    </w:p>
    <w:p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F05773" w:rsidRPr="008D2A37">
        <w:rPr>
          <w:rFonts w:ascii="Arial" w:hAnsi="Arial" w:cs="Arial"/>
          <w:sz w:val="24"/>
          <w:szCs w:val="24"/>
        </w:rPr>
        <w:t>aszyny i urządzeń,</w:t>
      </w:r>
    </w:p>
    <w:p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</w:t>
      </w:r>
      <w:r w:rsidR="00F05773" w:rsidRPr="008D2A37">
        <w:rPr>
          <w:rFonts w:ascii="Arial" w:hAnsi="Arial" w:cs="Arial"/>
          <w:sz w:val="24"/>
          <w:szCs w:val="24"/>
        </w:rPr>
        <w:t>odków transportu,</w:t>
      </w:r>
    </w:p>
    <w:p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nnych.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8D2A37">
        <w:rPr>
          <w:rFonts w:ascii="Arial" w:hAnsi="Arial" w:cs="Arial"/>
          <w:sz w:val="24"/>
          <w:szCs w:val="24"/>
        </w:rPr>
        <w:t>nierozliczone</w:t>
      </w:r>
      <w:r w:rsidRPr="008D2A37">
        <w:rPr>
          <w:rFonts w:ascii="Arial" w:hAnsi="Arial" w:cs="Arial"/>
          <w:sz w:val="24"/>
          <w:szCs w:val="24"/>
        </w:rPr>
        <w:t xml:space="preserve"> w </w:t>
      </w:r>
      <w:r w:rsidR="008D2A37">
        <w:rPr>
          <w:rFonts w:ascii="Arial" w:hAnsi="Arial" w:cs="Arial"/>
          <w:sz w:val="24"/>
          <w:szCs w:val="24"/>
        </w:rPr>
        <w:t>koszty prowadzenia działalności,</w:t>
      </w:r>
      <w:r w:rsidR="008D2A37">
        <w:rPr>
          <w:rFonts w:ascii="Arial" w:hAnsi="Arial" w:cs="Arial"/>
          <w:sz w:val="24"/>
          <w:szCs w:val="24"/>
        </w:rPr>
        <w:tab/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8D2A37">
        <w:rPr>
          <w:rFonts w:ascii="Arial" w:hAnsi="Arial" w:cs="Arial"/>
          <w:sz w:val="24"/>
          <w:szCs w:val="24"/>
        </w:rPr>
        <w:t>niezapłacone</w:t>
      </w:r>
      <w:r w:rsidRPr="008D2A37">
        <w:rPr>
          <w:rFonts w:ascii="Arial" w:hAnsi="Arial" w:cs="Arial"/>
          <w:sz w:val="24"/>
          <w:szCs w:val="24"/>
        </w:rPr>
        <w:t xml:space="preserve"> a wykonane należności, </w:t>
      </w:r>
    </w:p>
    <w:p w:rsidR="008D2A37" w:rsidRDefault="002A7E5B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Zapasy - całość</w:t>
      </w:r>
      <w:r w:rsidR="00F05773" w:rsidRPr="008D2A37">
        <w:rPr>
          <w:rFonts w:ascii="Arial" w:hAnsi="Arial" w:cs="Arial"/>
          <w:sz w:val="24"/>
          <w:szCs w:val="24"/>
        </w:rPr>
        <w:t xml:space="preserve"> zapasów przedsiębiorcy,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Zobowiązania bieżące bez kredytów – suma zobowiązań do 12 miesięcy z wyłączeniem kredytów i pożyczek, 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12 miesięcy z </w:t>
      </w:r>
      <w:r w:rsidR="008D2A37">
        <w:rPr>
          <w:rFonts w:ascii="Arial" w:hAnsi="Arial" w:cs="Arial"/>
          <w:sz w:val="24"/>
          <w:szCs w:val="24"/>
        </w:rPr>
        <w:t>wyłączeniem kredytów i pożyczek,</w:t>
      </w:r>
    </w:p>
    <w:p w:rsidR="00F05773" w:rsidRP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długoterminowe – powyżej 12 miesięcy.</w:t>
      </w:r>
    </w:p>
    <w:p w:rsidR="00F05773" w:rsidRPr="00F05773" w:rsidRDefault="00F05773" w:rsidP="005434C6">
      <w:pPr>
        <w:pStyle w:val="Nagwek2"/>
      </w:pPr>
      <w:bookmarkStart w:id="20" w:name="_Toc149213075"/>
      <w:r w:rsidRPr="00F05773">
        <w:t>Tabela 6. Rachunek zysków i strat uproszczony bez uwzględnienia projektu.</w:t>
      </w:r>
      <w:bookmarkEnd w:id="20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 Wypełniane pola:</w:t>
      </w:r>
    </w:p>
    <w:p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akup towarów handlowych i materiałów,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uboczne zakupu,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reprezentacji i reklamy objęte limitem,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ynagrodzenia z narzutami,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05773" w:rsidRPr="008D2A37">
        <w:rPr>
          <w:rFonts w:ascii="Arial" w:hAnsi="Arial" w:cs="Arial"/>
          <w:sz w:val="24"/>
          <w:szCs w:val="24"/>
        </w:rPr>
        <w:t>ozostałe wydatki, w tym:</w:t>
      </w:r>
    </w:p>
    <w:p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amortyzację,</w:t>
      </w:r>
    </w:p>
    <w:p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odsetki od kredytów,</w:t>
      </w:r>
    </w:p>
    <w:p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 [+]/spadek stanu zapasów [-]),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początkowy,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</w:t>
      </w:r>
      <w:r w:rsidR="00F05773" w:rsidRPr="008D2A37">
        <w:rPr>
          <w:rFonts w:ascii="Arial" w:hAnsi="Arial" w:cs="Arial"/>
          <w:sz w:val="24"/>
          <w:szCs w:val="24"/>
        </w:rPr>
        <w:t>emanent końcowy,</w:t>
      </w:r>
    </w:p>
    <w:p w:rsidR="00F05773" w:rsidRP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:rsidR="00F05773" w:rsidRPr="00F05773" w:rsidRDefault="00F05773" w:rsidP="005434C6">
      <w:pPr>
        <w:pStyle w:val="Nagwek2"/>
      </w:pPr>
      <w:bookmarkStart w:id="21" w:name="_Toc149213076"/>
      <w:r w:rsidRPr="00F05773">
        <w:t>Tabela 7. Analiza wskaźnikowa uproszczona bez uwzględnienia projektu.</w:t>
      </w:r>
      <w:bookmarkEnd w:id="21"/>
    </w:p>
    <w:p w:rsidR="00F05773" w:rsidRPr="008D2A37" w:rsidRDefault="00F05773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nieprowadzących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</w:t>
      </w:r>
      <w:r w:rsidRPr="008D2A37">
        <w:rPr>
          <w:rFonts w:ascii="Arial" w:hAnsi="Arial" w:cs="Arial"/>
          <w:sz w:val="24"/>
          <w:szCs w:val="24"/>
        </w:rPr>
        <w:t>. Brak wypełnianych pól.</w:t>
      </w:r>
    </w:p>
    <w:sectPr w:rsidR="00F05773" w:rsidRPr="008D2A37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F8F" w:rsidRDefault="00761F8F" w:rsidP="007C13D0">
      <w:pPr>
        <w:spacing w:after="0" w:line="240" w:lineRule="auto"/>
      </w:pPr>
      <w:r>
        <w:separator/>
      </w:r>
    </w:p>
  </w:endnote>
  <w:endnote w:type="continuationSeparator" w:id="0">
    <w:p w:rsidR="00761F8F" w:rsidRDefault="00761F8F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234605"/>
      <w:docPartObj>
        <w:docPartGallery w:val="Page Numbers (Bottom of Page)"/>
        <w:docPartUnique/>
      </w:docPartObj>
    </w:sdtPr>
    <w:sdtEndPr/>
    <w:sdtContent>
      <w:p w:rsidR="0031762D" w:rsidRDefault="00317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710">
          <w:rPr>
            <w:noProof/>
          </w:rPr>
          <w:t>22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F8F" w:rsidRDefault="00761F8F" w:rsidP="007C13D0">
      <w:pPr>
        <w:spacing w:after="0" w:line="240" w:lineRule="auto"/>
      </w:pPr>
      <w:r>
        <w:separator/>
      </w:r>
    </w:p>
  </w:footnote>
  <w:footnote w:type="continuationSeparator" w:id="0">
    <w:p w:rsidR="00761F8F" w:rsidRDefault="00761F8F" w:rsidP="007C13D0">
      <w:pPr>
        <w:spacing w:after="0" w:line="240" w:lineRule="auto"/>
      </w:pPr>
      <w:r>
        <w:continuationSeparator/>
      </w:r>
    </w:p>
  </w:footnote>
  <w:footnote w:id="1">
    <w:p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:rsidR="0031762D" w:rsidRDefault="00317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62D" w:rsidRDefault="0031762D">
    <w:pPr>
      <w:pStyle w:val="Nagwek"/>
    </w:pPr>
    <w:r>
      <w:rPr>
        <w:noProof/>
        <w:lang w:eastAsia="pl-PL"/>
      </w:rPr>
      <w:drawing>
        <wp:inline distT="0" distB="0" distL="0" distR="0" wp14:anchorId="409418F3" wp14:editId="0C8DED36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3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8151A"/>
    <w:multiLevelType w:val="hybridMultilevel"/>
    <w:tmpl w:val="AD4E1820"/>
    <w:lvl w:ilvl="0" w:tplc="04150013">
      <w:start w:val="1"/>
      <w:numFmt w:val="upperRoman"/>
      <w:pStyle w:val="Nagwek1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9"/>
  </w:num>
  <w:num w:numId="4">
    <w:abstractNumId w:val="16"/>
  </w:num>
  <w:num w:numId="5">
    <w:abstractNumId w:val="15"/>
  </w:num>
  <w:num w:numId="6">
    <w:abstractNumId w:val="17"/>
  </w:num>
  <w:num w:numId="7">
    <w:abstractNumId w:val="21"/>
  </w:num>
  <w:num w:numId="8">
    <w:abstractNumId w:val="24"/>
  </w:num>
  <w:num w:numId="9">
    <w:abstractNumId w:val="13"/>
  </w:num>
  <w:num w:numId="10">
    <w:abstractNumId w:val="0"/>
  </w:num>
  <w:num w:numId="11">
    <w:abstractNumId w:val="18"/>
  </w:num>
  <w:num w:numId="12">
    <w:abstractNumId w:val="11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9"/>
  </w:num>
  <w:num w:numId="19">
    <w:abstractNumId w:val="20"/>
  </w:num>
  <w:num w:numId="20">
    <w:abstractNumId w:val="12"/>
  </w:num>
  <w:num w:numId="21">
    <w:abstractNumId w:val="5"/>
  </w:num>
  <w:num w:numId="22">
    <w:abstractNumId w:val="23"/>
  </w:num>
  <w:num w:numId="23">
    <w:abstractNumId w:val="8"/>
  </w:num>
  <w:num w:numId="24">
    <w:abstractNumId w:val="10"/>
  </w:num>
  <w:num w:numId="25">
    <w:abstractNumId w:val="1"/>
  </w:num>
  <w:num w:numId="26">
    <w:abstractNumId w:val="25"/>
  </w:num>
  <w:num w:numId="27">
    <w:abstractNumId w:val="7"/>
  </w:num>
  <w:num w:numId="28">
    <w:abstractNumId w:val="3"/>
  </w:num>
  <w:num w:numId="29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edit="readOnly" w:formatting="1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D0"/>
    <w:rsid w:val="000029AB"/>
    <w:rsid w:val="000C4AE2"/>
    <w:rsid w:val="00110736"/>
    <w:rsid w:val="00202D9C"/>
    <w:rsid w:val="00234699"/>
    <w:rsid w:val="002532FD"/>
    <w:rsid w:val="00286E29"/>
    <w:rsid w:val="002A7E5B"/>
    <w:rsid w:val="002C02B9"/>
    <w:rsid w:val="002D7E2D"/>
    <w:rsid w:val="0031762D"/>
    <w:rsid w:val="003401C9"/>
    <w:rsid w:val="003C2B87"/>
    <w:rsid w:val="003C6795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4190B"/>
    <w:rsid w:val="00541A04"/>
    <w:rsid w:val="005434C6"/>
    <w:rsid w:val="0058330E"/>
    <w:rsid w:val="00585CE6"/>
    <w:rsid w:val="0058644E"/>
    <w:rsid w:val="005877CC"/>
    <w:rsid w:val="005A0E5B"/>
    <w:rsid w:val="00600F43"/>
    <w:rsid w:val="00640710"/>
    <w:rsid w:val="00640E35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867DC2"/>
    <w:rsid w:val="0088546D"/>
    <w:rsid w:val="008B6143"/>
    <w:rsid w:val="008D2A37"/>
    <w:rsid w:val="008E55B6"/>
    <w:rsid w:val="00931897"/>
    <w:rsid w:val="00A15BCC"/>
    <w:rsid w:val="00A21223"/>
    <w:rsid w:val="00A7355C"/>
    <w:rsid w:val="00AA02A8"/>
    <w:rsid w:val="00AD1415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92D3C"/>
    <w:rsid w:val="00CB32D9"/>
    <w:rsid w:val="00CB35D7"/>
    <w:rsid w:val="00D369E9"/>
    <w:rsid w:val="00D562E5"/>
    <w:rsid w:val="00D568CF"/>
    <w:rsid w:val="00E02B64"/>
    <w:rsid w:val="00E14E65"/>
    <w:rsid w:val="00E53AA1"/>
    <w:rsid w:val="00E60DF8"/>
    <w:rsid w:val="00EC1B9A"/>
    <w:rsid w:val="00EC6185"/>
    <w:rsid w:val="00F05773"/>
    <w:rsid w:val="00F35946"/>
    <w:rsid w:val="00F72B63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0518C6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numPr>
        <w:numId w:val="1"/>
      </w:numPr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D111A-53AB-49BB-B000-E058A21C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28</Pages>
  <Words>5461</Words>
  <Characters>32768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38153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FEŁI</cp:lastModifiedBy>
  <cp:revision>5</cp:revision>
  <dcterms:created xsi:type="dcterms:W3CDTF">2023-06-15T13:21:00Z</dcterms:created>
  <dcterms:modified xsi:type="dcterms:W3CDTF">2023-10-26T09:44:00Z</dcterms:modified>
</cp:coreProperties>
</file>