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BCBD" w14:textId="31B56108" w:rsidR="000C09D5" w:rsidRPr="005748A5" w:rsidRDefault="000C09D5" w:rsidP="000C09D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748A5">
        <w:rPr>
          <w:rFonts w:ascii="Arial" w:hAnsi="Arial" w:cs="Arial"/>
          <w:sz w:val="16"/>
          <w:szCs w:val="16"/>
        </w:rPr>
        <w:t xml:space="preserve">Załącznik nr </w:t>
      </w:r>
      <w:r w:rsidR="005748A5" w:rsidRPr="005748A5">
        <w:rPr>
          <w:rFonts w:ascii="Arial" w:hAnsi="Arial" w:cs="Arial"/>
          <w:sz w:val="16"/>
          <w:szCs w:val="16"/>
        </w:rPr>
        <w:t>1</w:t>
      </w:r>
      <w:r w:rsidR="0014387A">
        <w:rPr>
          <w:rFonts w:ascii="Arial" w:hAnsi="Arial" w:cs="Arial"/>
          <w:sz w:val="16"/>
          <w:szCs w:val="16"/>
        </w:rPr>
        <w:t>3</w:t>
      </w:r>
      <w:r w:rsidRPr="005748A5">
        <w:rPr>
          <w:rFonts w:ascii="Arial" w:hAnsi="Arial" w:cs="Arial"/>
          <w:sz w:val="16"/>
          <w:szCs w:val="16"/>
        </w:rPr>
        <w:t xml:space="preserve"> do Regulaminu konkursu nr </w:t>
      </w:r>
      <w:r w:rsidR="005748A5" w:rsidRPr="005748A5">
        <w:rPr>
          <w:rFonts w:ascii="Arial" w:eastAsia="Times New Roman" w:hAnsi="Arial" w:cs="Arial"/>
          <w:b/>
          <w:sz w:val="16"/>
          <w:szCs w:val="16"/>
          <w:lang w:eastAsia="pl-PL"/>
        </w:rPr>
        <w:t>RPLD.10.01.00-IZ.00-10-00</w:t>
      </w:r>
      <w:r w:rsidR="00CF1853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  <w:bookmarkStart w:id="0" w:name="_GoBack"/>
      <w:bookmarkEnd w:id="0"/>
      <w:r w:rsidR="002A099F">
        <w:rPr>
          <w:rFonts w:ascii="Arial" w:eastAsia="Times New Roman" w:hAnsi="Arial" w:cs="Arial"/>
          <w:b/>
          <w:sz w:val="16"/>
          <w:szCs w:val="16"/>
          <w:lang w:eastAsia="pl-PL"/>
        </w:rPr>
        <w:t>/22</w:t>
      </w:r>
    </w:p>
    <w:p w14:paraId="0FE3798D" w14:textId="77777777" w:rsidR="000C09D5" w:rsidRDefault="000C09D5" w:rsidP="000C09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BAD65D" w14:textId="577355FF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67666861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>Województwem Łódzkim z siedzibą w Łodzi przy Al.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41C5D54E" w14:textId="5D94E029" w:rsidR="00C97055" w:rsidRDefault="00C9705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30FA2" w14:textId="23711EFE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0FA2C955" w14:textId="77777777" w:rsidR="00EB0852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27161" w14:textId="77777777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1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2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lastRenderedPageBreak/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49974170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3E15" w14:textId="77777777" w:rsidR="004C126B" w:rsidRDefault="004C126B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77149" w14:textId="77777777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143854DB" w14:textId="0EE3C084" w:rsidR="00CC4D60" w:rsidRPr="000C09D5" w:rsidRDefault="00746214" w:rsidP="00CC4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5E482063" w14:textId="6131A73B" w:rsidR="00CC4D60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55976DC2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E506A6">
        <w:rPr>
          <w:rFonts w:ascii="Arial" w:hAnsi="Arial" w:cs="Arial"/>
          <w:sz w:val="20"/>
          <w:szCs w:val="20"/>
        </w:rPr>
        <w:t xml:space="preserve"> czterech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E506A6">
        <w:rPr>
          <w:rFonts w:ascii="Arial" w:hAnsi="Arial" w:cs="Arial"/>
          <w:sz w:val="20"/>
          <w:szCs w:val="20"/>
        </w:rPr>
        <w:t xml:space="preserve"> trzy 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4A36188A" w14:textId="1AA7D93F" w:rsidR="008221AA" w:rsidRPr="00DB3CC6" w:rsidRDefault="008221AA" w:rsidP="00DB3C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368C3B9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94FA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CB6676" w14:textId="5564F6A0" w:rsidR="004E5931" w:rsidRDefault="004E5931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9BD9D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     </w:t>
      </w:r>
    </w:p>
    <w:p w14:paraId="1F2BDB93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34EF7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F99F78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79B8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150987B1" w14:textId="29A74527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14B752" w14:textId="62C98992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7A8C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4957E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8E73D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C8B4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8E9722" w14:textId="3948BE0E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FFC99" w14:textId="187A476F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F5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616" w14:textId="77777777" w:rsidR="0023002B" w:rsidRDefault="0023002B" w:rsidP="000C09D5">
      <w:pPr>
        <w:spacing w:after="0" w:line="240" w:lineRule="auto"/>
      </w:pPr>
      <w:r>
        <w:separator/>
      </w:r>
    </w:p>
  </w:endnote>
  <w:endnote w:type="continuationSeparator" w:id="0">
    <w:p w14:paraId="619D8AE2" w14:textId="77777777" w:rsidR="0023002B" w:rsidRDefault="0023002B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793190B2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53">
          <w:rPr>
            <w:noProof/>
          </w:rPr>
          <w:t>1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9D51" w14:textId="77777777" w:rsidR="0023002B" w:rsidRDefault="0023002B" w:rsidP="000C09D5">
      <w:pPr>
        <w:spacing w:after="0" w:line="240" w:lineRule="auto"/>
      </w:pPr>
      <w:r>
        <w:separator/>
      </w:r>
    </w:p>
  </w:footnote>
  <w:footnote w:type="continuationSeparator" w:id="0">
    <w:p w14:paraId="1904DD49" w14:textId="77777777" w:rsidR="0023002B" w:rsidRDefault="0023002B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76DF"/>
    <w:rsid w:val="000A5AF8"/>
    <w:rsid w:val="000A5EE4"/>
    <w:rsid w:val="000C09D5"/>
    <w:rsid w:val="000D0EE3"/>
    <w:rsid w:val="000F0710"/>
    <w:rsid w:val="000F07B5"/>
    <w:rsid w:val="000F55E3"/>
    <w:rsid w:val="000F6E9D"/>
    <w:rsid w:val="00101C96"/>
    <w:rsid w:val="001068AA"/>
    <w:rsid w:val="00115E4C"/>
    <w:rsid w:val="00123656"/>
    <w:rsid w:val="0012671D"/>
    <w:rsid w:val="001320EE"/>
    <w:rsid w:val="001322FC"/>
    <w:rsid w:val="001434B2"/>
    <w:rsid w:val="0014387A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099F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43C02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A02B1"/>
    <w:rsid w:val="004A45D6"/>
    <w:rsid w:val="004A5241"/>
    <w:rsid w:val="004A604A"/>
    <w:rsid w:val="004B2A24"/>
    <w:rsid w:val="004B3AC7"/>
    <w:rsid w:val="004B43DD"/>
    <w:rsid w:val="004C126B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5A8A"/>
    <w:rsid w:val="00567283"/>
    <w:rsid w:val="005748A5"/>
    <w:rsid w:val="005761A8"/>
    <w:rsid w:val="00582939"/>
    <w:rsid w:val="00591DF6"/>
    <w:rsid w:val="00594481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D599F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F69"/>
    <w:rsid w:val="00CD4821"/>
    <w:rsid w:val="00CD4F4B"/>
    <w:rsid w:val="00CE3469"/>
    <w:rsid w:val="00CE4050"/>
    <w:rsid w:val="00CE7289"/>
    <w:rsid w:val="00CF1853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8635F"/>
    <w:rsid w:val="00D91694"/>
    <w:rsid w:val="00DB3CC6"/>
    <w:rsid w:val="00DB7D68"/>
    <w:rsid w:val="00DC26E9"/>
    <w:rsid w:val="00DC6460"/>
    <w:rsid w:val="00DD1E00"/>
    <w:rsid w:val="00DE2916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D4E00"/>
    <w:rsid w:val="00FE19B2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F854-6A10-4F02-9ED4-4FE8C7C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Justyna Dudycz-Kuna</cp:lastModifiedBy>
  <cp:revision>3</cp:revision>
  <cp:lastPrinted>2021-03-12T10:31:00Z</cp:lastPrinted>
  <dcterms:created xsi:type="dcterms:W3CDTF">2022-05-20T06:22:00Z</dcterms:created>
  <dcterms:modified xsi:type="dcterms:W3CDTF">2022-07-08T13:56:00Z</dcterms:modified>
</cp:coreProperties>
</file>