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C6" w:rsidRPr="008664CB" w:rsidRDefault="00754AC6" w:rsidP="00C83EC8">
      <w:pPr>
        <w:keepNext/>
        <w:spacing w:before="60" w:after="60" w:line="360" w:lineRule="auto"/>
        <w:jc w:val="right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bookmarkStart w:id="0" w:name="_Toc454532346"/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Załącznik nr IV</w:t>
      </w:r>
    </w:p>
    <w:p w:rsidR="00754AC6" w:rsidRPr="008664CB" w:rsidRDefault="00754AC6" w:rsidP="00C83EC8">
      <w:pPr>
        <w:keepNext/>
        <w:spacing w:before="6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Kryteria wyboru projektów w ramach Osi Priorytetowej III Transport, Działanie III.</w:t>
      </w:r>
      <w:r w:rsidR="00EB4B69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 xml:space="preserve">3 </w:t>
      </w:r>
      <w:r w:rsidR="00EB4B69" w:rsidRPr="00EB4B69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Transport multimodalny</w:t>
      </w:r>
    </w:p>
    <w:p w:rsidR="00754AC6" w:rsidRPr="008664CB" w:rsidRDefault="00754AC6" w:rsidP="00C83EC8">
      <w:pPr>
        <w:keepNext/>
        <w:spacing w:before="6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w ramach Regionalnego Programu Operacyjnego Województwa Łódzkiego na lata 2014-2020</w:t>
      </w:r>
    </w:p>
    <w:bookmarkEnd w:id="0"/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FORMALNE </w:t>
      </w:r>
    </w:p>
    <w:p w:rsidR="00765A8D" w:rsidRPr="008664CB" w:rsidRDefault="00765A8D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2342"/>
        <w:gridCol w:w="7840"/>
        <w:gridCol w:w="3230"/>
      </w:tblGrid>
      <w:tr w:rsidR="00351167" w:rsidRPr="00F7422C" w:rsidTr="004D5DDF">
        <w:trPr>
          <w:trHeight w:val="434"/>
        </w:trPr>
        <w:tc>
          <w:tcPr>
            <w:tcW w:w="472" w:type="dxa"/>
            <w:shd w:val="clear" w:color="auto" w:fill="BFBFBF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42" w:type="dxa"/>
            <w:shd w:val="clear" w:color="auto" w:fill="BFBFBF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7840" w:type="dxa"/>
            <w:shd w:val="clear" w:color="auto" w:fill="BFBFBF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Sposób oceny kryterium</w:t>
            </w:r>
          </w:p>
        </w:tc>
        <w:tc>
          <w:tcPr>
            <w:tcW w:w="3230" w:type="dxa"/>
            <w:shd w:val="clear" w:color="auto" w:fill="BFBFBF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Tak / tak-warunkowo / nie / nie dotyczy</w:t>
            </w:r>
          </w:p>
        </w:tc>
      </w:tr>
      <w:tr w:rsidR="00351167" w:rsidRPr="00F7422C" w:rsidTr="004D5DDF">
        <w:trPr>
          <w:trHeight w:val="1049"/>
        </w:trPr>
        <w:tc>
          <w:tcPr>
            <w:tcW w:w="472" w:type="dxa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Wnioskodawca (partner) jest uprawniony do ubiegania się o uzyskanie dofinansowania 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i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Szczegółowego opisu osi priorytetowych RPO WŁ na lata 2014-2020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dla danego działania lub poddziałania; czy spełnia warunki kwalifikowania się do danej kategorii beneficjentów (czy posiada odpowiedni status prawny).</w:t>
            </w:r>
          </w:p>
          <w:p w:rsidR="00351167" w:rsidRPr="005539CC" w:rsidRDefault="00351167" w:rsidP="004D5DDF">
            <w:p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W przypadku realizacji projektu hybrydowego (zgodnie z art. 34 </w:t>
            </w:r>
            <w:r w:rsidRPr="005539CC">
              <w:rPr>
                <w:rFonts w:ascii="Arial Narrow" w:hAnsi="Arial Narrow"/>
                <w:i/>
                <w:iCs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5539CC">
              <w:rPr>
                <w:rFonts w:ascii="Arial Narrow" w:hAnsi="Arial Narrow"/>
                <w:sz w:val="20"/>
                <w:szCs w:val="20"/>
              </w:rPr>
              <w:t>) partner prywatny nie musi znajdować się w ww. katalogu beneficjentów.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4D5DDF">
        <w:tc>
          <w:tcPr>
            <w:tcW w:w="472" w:type="dxa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Wnioskodawca (partner) nie podlega wykluczeniu z ubiegania się o dofinansowanie i nie orzeczono wobec niego zakazu dostępu do środków funduszy europejskich 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:rsidR="00351167" w:rsidRPr="005539CC" w:rsidRDefault="00351167" w:rsidP="00351167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art. 207 ust. 4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>ustawy z dnia 27 sierpnia 2009 r. o finansach publicznych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351167" w:rsidRPr="005539CC" w:rsidRDefault="00351167" w:rsidP="00351167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art. 12 ust. 1 pkt 1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>ustawy z dnia 15 czerwca 2012 r. o skutkach powierzania wykonywania pracy cudzoziemcom przebywającym wbrew przepisom na terytorium Rzeczypospolitej Polskiej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  <w:p w:rsidR="00351167" w:rsidRPr="005539CC" w:rsidRDefault="00351167" w:rsidP="00351167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art. 9 ust. 1 pkt 2a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>ustawy z dnia 28 października 2002 r. o odpowiedzialności podmiotów zbiorowych za czyny zabronione pod groźbą kary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4D5DDF">
        <w:tc>
          <w:tcPr>
            <w:tcW w:w="472" w:type="dxa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2" w:type="dxa"/>
            <w:vAlign w:val="center"/>
          </w:tcPr>
          <w:p w:rsidR="00351167" w:rsidRPr="005539CC" w:rsidDel="00F352C9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Wnioskodawca (partner) nie podlega wykluczeniu na podstawie przepisów dotyczących udzielania pomocy publicznej lub pomocy de minimis (jeśli dotyczy).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lub pomocy de minimis.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4D5DDF">
        <w:tc>
          <w:tcPr>
            <w:tcW w:w="472" w:type="dxa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Wnioskodawca (partner) nie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jest przedsiębiorstwem w trudnej sytuacji w rozumieniu unijnych przepisów dotyczących pomocy publicznej (jeśli dotyczy)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W ramach kryterium ocenie podlegać będzie, czy wnioskodawca 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(partner) nie jest przedsiębiorstwem w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trudnej sytuacji w rozumieniu unijnych przepisów dotyczących pomocy publicznej – definicja przedsiębiorstwa znajdującego się w trudnej sytuacji zamieszczona jest w pkt 24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Wytycznych dotyczących pomocy państwa na ratowanie i restrukturyzację przedsiębiorstw niefinansowych znajdujących się w trudnej sytuacji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Traktatu –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definicja zawarta jest w art. 2 pkt. 18 Rozporządzenia Nr 651/2014.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 (partnera).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Tak / tak-warunkowo / nie / nie dotyczy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</w:tc>
      </w:tr>
      <w:tr w:rsidR="00351167" w:rsidRPr="00F7422C" w:rsidTr="004D5DDF">
        <w:tc>
          <w:tcPr>
            <w:tcW w:w="472" w:type="dxa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Wnioskodawca (partner) nie zalega w opłatach publicznoprawnych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>W przypadku, gdy w związku z wystąpieniem epidemii COVID-19 w 2020 r. Wnioskodawca (partner) skorzysta z instrumentów wsparcia w ramach pakietu ustaw składających się na tzw. „Tarczę antykryzysową”, w zakresie zwolnienia czy przesunięcia terminów uiszczania danin publicznych, np.:</w:t>
            </w:r>
          </w:p>
          <w:p w:rsidR="00351167" w:rsidRPr="005539CC" w:rsidRDefault="00351167" w:rsidP="00351167">
            <w:pPr>
              <w:pStyle w:val="Akapitzlist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Arial Narrow" w:hAnsi="Arial Narrow" w:cs="Arial"/>
                <w:iCs/>
              </w:rPr>
            </w:pPr>
            <w:r w:rsidRPr="005539CC">
              <w:rPr>
                <w:rFonts w:ascii="Arial Narrow" w:hAnsi="Arial Narrow" w:cs="Arial"/>
                <w:iCs/>
              </w:rPr>
              <w:t>zwolnienie ze składek ZUS;</w:t>
            </w:r>
          </w:p>
          <w:p w:rsidR="00351167" w:rsidRPr="005539CC" w:rsidRDefault="00351167" w:rsidP="00351167">
            <w:pPr>
              <w:pStyle w:val="Akapitzlist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Arial Narrow" w:hAnsi="Arial Narrow" w:cs="Arial"/>
                <w:iCs/>
              </w:rPr>
            </w:pPr>
            <w:r w:rsidRPr="005539CC">
              <w:rPr>
                <w:rFonts w:ascii="Arial Narrow" w:hAnsi="Arial Narrow" w:cs="Arial"/>
                <w:iCs/>
              </w:rPr>
              <w:t>odroczenie terminu płatności lub rozłożenie na raty należności ZUS;</w:t>
            </w:r>
          </w:p>
          <w:p w:rsidR="00351167" w:rsidRPr="005539CC" w:rsidRDefault="00351167" w:rsidP="00351167">
            <w:pPr>
              <w:pStyle w:val="Akapitzlist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Arial Narrow" w:hAnsi="Arial Narrow" w:cs="Arial"/>
                <w:iCs/>
              </w:rPr>
            </w:pPr>
            <w:r w:rsidRPr="005539CC">
              <w:rPr>
                <w:rFonts w:ascii="Arial Narrow" w:hAnsi="Arial Narrow" w:cs="Arial"/>
                <w:iCs/>
              </w:rPr>
              <w:t>umorzenie całości lub części zaległości podatkowej;</w:t>
            </w:r>
          </w:p>
          <w:p w:rsidR="00351167" w:rsidRPr="005539CC" w:rsidRDefault="00351167" w:rsidP="00351167">
            <w:pPr>
              <w:pStyle w:val="Akapitzlist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Arial Narrow" w:hAnsi="Arial Narrow" w:cs="Arial"/>
                <w:iCs/>
              </w:rPr>
            </w:pPr>
            <w:r w:rsidRPr="005539CC">
              <w:rPr>
                <w:rFonts w:ascii="Arial Narrow" w:hAnsi="Arial Narrow" w:cs="Arial"/>
                <w:iCs/>
              </w:rPr>
              <w:t>odroczenie terminu zapłaty zaliczek na podatek od wypłacanych wynagrodzeń,</w:t>
            </w:r>
          </w:p>
          <w:p w:rsidR="00351167" w:rsidRPr="005539CC" w:rsidRDefault="00351167" w:rsidP="004D5DDF">
            <w:pPr>
              <w:spacing w:after="0" w:line="240" w:lineRule="auto"/>
              <w:ind w:left="38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>złożenie do właściwego organu wniosku o ulgę jest uznawane jako spełnienie wymogu niezalegania z uiszczaniem należności.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 (partnera).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4D5DDF">
        <w:tc>
          <w:tcPr>
            <w:tcW w:w="472" w:type="dxa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Prawidłowość wyboru partnerów w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przypadku realizacji projektu partnerskiego (jeśli dotyczy).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 przypadku realizacji projektu partnerskiego, partnerzy zostali wybrani w sposób prawidłowy zgodnie z art. 33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5539C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tak-warunkowo / nie / nie dotyczy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</w:tc>
      </w:tr>
      <w:tr w:rsidR="00351167" w:rsidRPr="00F7422C" w:rsidTr="004D5DDF">
        <w:tc>
          <w:tcPr>
            <w:tcW w:w="472" w:type="dxa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wstępnej ocenie podlegać będzie</w:t>
            </w:r>
            <w:r w:rsidRPr="005539CC" w:rsidDel="001F6A4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zgodność inwestycji z typem projektu zapisanym:</w:t>
            </w:r>
          </w:p>
          <w:p w:rsidR="00351167" w:rsidRPr="005539CC" w:rsidRDefault="00351167" w:rsidP="004D5DDF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konkursowego - w Regulaminie konkursu (typ projektu zapisany w Regulaminie musi być zgodny i wynikać ze Szczegółowego opisu osi priorytetowych RPO WŁ na lata 2014-2020,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określonego w Regulaminie konkursu), </w:t>
            </w:r>
          </w:p>
          <w:p w:rsidR="00351167" w:rsidRPr="005539CC" w:rsidRDefault="00351167" w:rsidP="004D5DDF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>w przypadku trybu pozakonkursowego - w Szczegółowym opisie osi priorytetowych RPO WŁ na lata 2014-2020 dla danego działania lub poddziałania (pkt 9), określonym w wezwaniu do złożenia wniosku o dofinansowanie.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Tak / nie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4D5DDF">
        <w:tc>
          <w:tcPr>
            <w:tcW w:w="472" w:type="dxa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Zgodność inwestycji z celem szczegółowym i opisem danego działania lub poddziałania w Szczegółowym opisie osi priorytetowych RPO WŁ na lata 2014-2020.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2014-2020, określonego w Regulaminie konkursu w przypadku trybu konkursowego lub w wezwaniu do złożenia wniosku o dofinansowanie w przypadku trybu pozakonkursowego.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4D5DDF">
        <w:tc>
          <w:tcPr>
            <w:tcW w:w="472" w:type="dxa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42" w:type="dxa"/>
            <w:vAlign w:val="center"/>
          </w:tcPr>
          <w:p w:rsidR="00351167" w:rsidRPr="005539CC" w:rsidDel="00116F82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Miejsce realizacji projektu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539CC">
              <w:rPr>
                <w:rFonts w:ascii="Arial Narrow" w:hAnsi="Arial Narrow" w:cs="ArialMT"/>
                <w:sz w:val="20"/>
                <w:szCs w:val="20"/>
              </w:rPr>
              <w:t>Czy projekt będzie realizowany w granicach administracyjnych województwa łódzkiego?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MT"/>
                <w:sz w:val="20"/>
                <w:szCs w:val="20"/>
              </w:rPr>
              <w:t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4D5DDF">
        <w:tc>
          <w:tcPr>
            <w:tcW w:w="472" w:type="dxa"/>
            <w:vAlign w:val="center"/>
          </w:tcPr>
          <w:p w:rsidR="00351167" w:rsidRPr="00F7422C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Realizacja projektu zakończy się do 3</w:t>
            </w: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  <w:r>
              <w:rPr>
                <w:rFonts w:ascii="Arial Narrow" w:hAnsi="Arial Narrow" w:cs="Tahoma"/>
                <w:sz w:val="20"/>
                <w:szCs w:val="20"/>
              </w:rPr>
              <w:t>12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.2023 r.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(dotyczy </w:t>
            </w:r>
            <w:r w:rsidRPr="00D57006">
              <w:rPr>
                <w:rFonts w:ascii="Arial Narrow" w:hAnsi="Arial Narrow" w:cs="Tahoma"/>
                <w:sz w:val="20"/>
                <w:szCs w:val="20"/>
              </w:rPr>
              <w:t>trybu pozakonkursowego</w:t>
            </w:r>
            <w:r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7840" w:type="dxa"/>
            <w:vAlign w:val="center"/>
          </w:tcPr>
          <w:p w:rsidR="00351167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57006">
              <w:rPr>
                <w:rFonts w:ascii="Arial Narrow" w:hAnsi="Arial Narrow" w:cs="Tahoma"/>
                <w:sz w:val="20"/>
                <w:szCs w:val="20"/>
              </w:rPr>
              <w:t>W ramach kryterium ocenie podlegać będzie, czy planowana we wniosku o dofinansowanie data zakończenia realizacji projektu nie wykracza poza końcową datę okresu kwalifikowalności wydatków w ramach działania, tj. 31 grudnia 2023 r.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62141">
              <w:rPr>
                <w:rFonts w:ascii="Arial Narrow" w:hAnsi="Arial Narrow" w:cs="Tahoma"/>
                <w:sz w:val="20"/>
                <w:szCs w:val="20"/>
              </w:rPr>
              <w:t xml:space="preserve">Należy mieć na uwadze, że przy przygotowywaniu harmonogramu realizacji projektu wnioskodawca powinien uwzględnić możliwe do przewidzenia ryzyka, wpływające na okres realizacji projektu, takie jak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m.in. </w:t>
            </w:r>
            <w:r w:rsidRPr="00762141">
              <w:rPr>
                <w:rFonts w:ascii="Arial Narrow" w:hAnsi="Arial Narrow" w:cs="Tahoma"/>
                <w:sz w:val="20"/>
                <w:szCs w:val="20"/>
              </w:rPr>
              <w:t>czasochłonny proces wykonania ekspertyz, uzyskania opinii, pozwoleń, opóźnienia w wyborze wykonawcy, czy realizacji robót budowlanych.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51167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 w przypadku wątpliwości.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Projekt nie został ukończony lub zrealizowany przed złożeniem wniosku o dofinansowanie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projekt nie został fizycznie ukończony lub w pełni zrealizowany przed złożeniem wniosku o dofinansowanie niezależnie od tego, czy wszystkie powiązane płatności zostały dokonane przez wnioskodawcę, zgodnie z art. 65 ust. 6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5539C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Weryfikacja dokonywana będzie na podstawie oświadczenia składanego przez Wnioskodawcę.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Tak / tak-warunkowo / nie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42" w:type="dxa"/>
            <w:vAlign w:val="center"/>
          </w:tcPr>
          <w:p w:rsidR="00351167" w:rsidRPr="005539CC" w:rsidDel="00116F82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Projekt jest zgodny z obowiązującymi przepisami krajowymi i unijnymi dotyczącymi stosowania pomocy publicznej lub pomocy de minimis.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wstępnej ocenie podlegać będzie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zgodność projektu z obowiązującymi przepisami krajowymi i unijnymi dotyczącymi stosowania pomocy publicznej lub pomocy de minimis.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tak-warunkowo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</w:pPr>
            <w:r w:rsidRPr="005539CC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Ocenie tego kryterium nie podlega zasadność ubiegania się o pomoc publiczną w oparciu o podstawę prawną wskazaną we wniosku o dofinansowanie.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Zgodność projektu z zasadą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równości szans i niedyskryminacji, w tym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dostępności dla osób z niepełnosprawnościami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oceniane będzie czy projekt jest zgodny z zasadą równości szans i niedyskryminacji, w tym dostępności dla osób z niepełnosprawnościami, wynikającą z art. 7 rozporządzenia Parlamentu Europejskiego i Rady (UE) nr 1303/2013 z dnia 17 grudnia 2013 r.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We wniosku o dofinansowanie wymaga się wykazania pozytywnego wpływu realizacji projektu na zasadę równości szans i niedyskryminacji, w tym dostępności dla osób z niepełnosprawnościami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oraz 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opisania sposobów zapewnienia zgodności projektu z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ww. zasadą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, uwzględniając zapisy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2014-2020.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Style w:val="FontStyle18"/>
                <w:rFonts w:ascii="Arial Narrow" w:hAnsi="Arial Narrow"/>
              </w:rPr>
            </w:pPr>
            <w:r w:rsidRPr="005539CC">
              <w:rPr>
                <w:rStyle w:val="FontStyle18"/>
                <w:rFonts w:ascii="Arial Narrow" w:hAnsi="Arial Narrow"/>
              </w:rPr>
              <w:t>Tak / nie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 lub złożenia wyjaśnień, w przypadku wątpliwości.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Zgodność projektu z zasadą równości szans kobiet i mężczyzn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W ramach kryterium oceniana będzie zgodność projektu z zasadą równości szans kobiet i mężczyzn,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wynikającą z art. 7 rozporządzenia Parlamentu Europejskiego i Rady (UE) nr 1303/2013 z dnia 17 grudnia 2013 r.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We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wniosku o dofinansowanie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należy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przedstawić uzasadnienie dla wskazanego wpływu projektu na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zasadę </w:t>
            </w:r>
            <w:r w:rsidRPr="005539CC">
              <w:rPr>
                <w:rFonts w:ascii="Arial Narrow" w:hAnsi="Arial Narrow"/>
                <w:sz w:val="20"/>
                <w:szCs w:val="20"/>
              </w:rPr>
              <w:t>równości szans kobiet i mężczyzn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oraz opisać sposoby zapewnienia zgodności projektu z ww. zasadą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, uwzględniając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zapisy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Dopuszczalne jest uznanie neutralności projektu pod warunkiem wskazania we wniosku o dofinansowanie szczegółowego uzasadnienia, dlaczego dany projekt nie jest w stanie zrealizować jakichkolwiek działań w zakresie spełnienia ww. zasady.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 lub złożenia wyjaśnień, w przypadku wątpliwości.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Zgodność projektu z zasadą zrównoważonego rozwoju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 ramach kryterium oceniane będzie czy działania przewidziane do realizacji w projekcie są zgodne z zasadą zrównoważonego rozwoju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z wynikającą art. 8 </w:t>
            </w:r>
            <w:r w:rsidRPr="005539CC">
              <w:rPr>
                <w:rFonts w:ascii="Arial Narrow" w:hAnsi="Arial Narrow" w:cs="Tahoma"/>
                <w:i/>
                <w:sz w:val="20"/>
                <w:szCs w:val="20"/>
              </w:rPr>
              <w:t xml:space="preserve">rozporządzenia Parlamentu Europejskiego i Rady </w:t>
            </w:r>
            <w:r w:rsidRPr="005539CC">
              <w:rPr>
                <w:rFonts w:ascii="Arial Narrow" w:hAnsi="Arial Narrow" w:cs="Tahoma"/>
                <w:i/>
                <w:sz w:val="20"/>
                <w:szCs w:val="20"/>
              </w:rPr>
              <w:lastRenderedPageBreak/>
              <w:t>(UE) nr 1303/2013 z dnia 17 grudnia 2013 r.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We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wniosku o dofinansowanie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należy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przedstawić uzasadnienie dla wskazanego wpływu projektu na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zasadę </w:t>
            </w:r>
            <w:r w:rsidRPr="005539CC">
              <w:rPr>
                <w:rFonts w:ascii="Arial Narrow" w:hAnsi="Arial Narrow"/>
                <w:sz w:val="20"/>
                <w:szCs w:val="20"/>
              </w:rPr>
              <w:t>zrównoważonego rozwoju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oraz opisać sposoby zapewnienia zgodności projektu z ww. zasadą </w:t>
            </w:r>
            <w:r w:rsidRPr="005539C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Za kwalifikowalne mogą być uznane jedynie przedsięwzięcia oddziałujące na powyższą zasadę co najmniej na poziomie neutralnym. 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(niespełnienie skutkować będzie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negatywną oceną wniosku)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2342" w:type="dxa"/>
            <w:vAlign w:val="center"/>
          </w:tcPr>
          <w:p w:rsidR="00351167" w:rsidRPr="005539CC" w:rsidDel="00116F82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Projekt jest zgodny z planami, dokumentami strategicznymi 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projekt jest zgodny z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planami, dokumentami strategicznymi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określonymi w punkcie 6 Szczegółowego opisu osi priorytetowych RPO WŁ na lata 2014-2020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dla danego działania/poddziałania. </w:t>
            </w:r>
          </w:p>
          <w:p w:rsidR="00351167" w:rsidRPr="005539CC" w:rsidRDefault="00351167" w:rsidP="004D5DDF">
            <w:p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Możliwe jest doprecyzowanie lub uzupełnienie katalogu planów, dokumentów strategicznych w Regulaminie konkursu w przypadku trybu konkursowego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/>
                <w:sz w:val="20"/>
                <w:szCs w:val="20"/>
              </w:rPr>
              <w:t>lub wezwaniu do złożenia wniosku o dofinansowanie w przypadku trybu pozakonkursowego.</w:t>
            </w:r>
          </w:p>
          <w:p w:rsidR="00351167" w:rsidRPr="005539CC" w:rsidRDefault="00351167" w:rsidP="004D5DDF">
            <w:pPr>
              <w:spacing w:before="120"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42" w:type="dxa"/>
            <w:vAlign w:val="center"/>
          </w:tcPr>
          <w:p w:rsidR="00351167" w:rsidRPr="005539CC" w:rsidDel="00116F82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Projekt jest tożsamy z projektem znajdującym  się w wykazie projektów zidentyfikowanych (w przypadku trybu pozakonkursowego) 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</w:t>
            </w:r>
            <w:r w:rsidRPr="005539CC">
              <w:rPr>
                <w:rFonts w:ascii="Arial Narrow" w:hAnsi="Arial Narrow" w:cs="ArialMT"/>
                <w:sz w:val="20"/>
                <w:szCs w:val="20"/>
              </w:rPr>
              <w:t xml:space="preserve">czy projekt, wobec którego ma być zastosowany pozakonkursowy tryb wyboru jest tożsamy z projektem znajdującym się w wykazie projektów zidentyfikowanych,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stanowiącym załącznik nr 4 do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Szczegółowego opisu osi priorytetowych RPO WŁ na lata 2014-2020.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Tożsamość projektów jest oceniana na podstawie informacji zawartych we wniosku o dofinansowanie i załącznikach oraz ujętych w załączniku nr 4 pod kątem zgodności w zakresie przedmiotu projektu, wnioskodawcy, szacowanego wkładu UE (przy czym kwota we wniosku o dofinansowanie nie może być wyższa od wartości wskazanej w załączniku nr 4) oraz zakładanych efektów projektu.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 w przypadku wątpliwości.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42" w:type="dxa"/>
            <w:vAlign w:val="center"/>
          </w:tcPr>
          <w:p w:rsidR="00351167" w:rsidRPr="005539CC" w:rsidDel="00116F82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Projekt lub jego część nie obejmuje przedsięwzięć będących częścią operacji, które zostały objęte lub powinny były zostać objęte procedurą odzyskiwania w następstwie przeniesienia działalności produkcyjnej poza obszar objęty programem.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</w:t>
            </w:r>
            <w:r w:rsidRPr="005539CC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Zachowana jest spójność informacji wymaganych w projekcie.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ocenie podlegać będzie, czy informacje niezbędne do dokonania oceny projektu i sposobu jego realizacji zawarte we wniosku o dofinansowanie są jednoznaczne, spójne i uwzględniają w swoim zakresie wymagania określone w instrukcjach i wytycznych, wskazanych:</w:t>
            </w:r>
          </w:p>
          <w:p w:rsidR="00351167" w:rsidRPr="005539CC" w:rsidRDefault="00351167" w:rsidP="004D5DDF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konkursowego – w Regulaminie konkursu, 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  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pozakonkursowego – w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wezwaniu do złożenia wniosku o dofinansowanie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Możliwość poprawienia formularza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wniosku i załączników.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Kwalifikowalność wydatków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5539CC">
              <w:rPr>
                <w:rFonts w:ascii="Arial Narrow" w:hAnsi="Arial Narrow"/>
                <w:sz w:val="20"/>
                <w:szCs w:val="20"/>
              </w:rPr>
              <w:t>planowane przez wnioskodawcę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/>
                <w:sz w:val="20"/>
                <w:szCs w:val="20"/>
              </w:rPr>
              <w:t>w ramach projektu wydatki s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zgodne z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 xml:space="preserve">Wytycznymi w zakresie kwalifikowalności wydatków w ramach Europejskiego Funduszu Rozwoju Regionalnego, Europejskiego Funduszu Społecznego oraz Funduszu Spójności na lata 2014-2020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Szczegółowym opisem osi priorytetowych RPO WŁ na lata 2014-2020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oraz z przepisami o pomocy publicznej lub pomocy de minimis.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Poprawność wydatków w zakresie finansowania krzyżowego (jeśli dotyczy)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 zgodność wartości wydatków w zakresie finansowania krzyżowego (cross - financing), z maksymalnym dopuszczalnym poziomem określonym w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punkcie 19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Szczegółowego opisu osi priorytetowych RPO WŁ na lata 2014-2020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dla danego działania lub poddziałania, określonego w Regulaminie konkursu w przypadku trybu konkursowego lub w wezwaniu do złożenia wniosku o dofinansowanie w przypadku trybu pozakonkursowego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Zapewnienie przez wnioskodawcę wkładu własnego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ocenie podlegać będzie spełnienie warunku zapewnienia przez wnioskodawcę wkładu własnego na minimalnym poziomie określonym w Szczegółowym opisie osi priorytetowych RPO WŁ na lata 2014-2020 (określonym w Regulaminie konkursu w przypadku trybu konkursowego lub w wezwaniu do złożenia wniosku o dofinansowanie w przypadku trybu pozakonkursowego) lub w przepisach w zakresie pomocy publicznej</w:t>
            </w:r>
            <w:r w:rsidRPr="005539C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Zapewnienie minimalnej / maksymalnej wartości projektu lub wartości kosztów kwalifikowalnych (jeśli dotyczy)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 spełnienie warunku minimalnej/maksymalnej wartości projektu lub wartości kosztów kwalifikowalnych projektu określonej w Szczegółowym opisie osi priorytetowych RPO WŁ na lata 2014-2020,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określonego w Regulaminie konkursu w przypadku trybu konkursowego lub w wezwaniu do złożenia wniosku o dofinansowanie w przypadku trybu pozakonkursowego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Możliwe jest określenie minimalnej/maksymalnej wartości projektu lub wartości kosztów kwalifikowalnych projektu w Regulaminie konkursu w przypadku trybu konkursowego lub w wezwaniu do złożenia wniosku o dofinansowanie w przypadku trybu pozakonkursowego.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2F73C9" w:rsidTr="004D5D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F73C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24 </w:t>
            </w:r>
          </w:p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Prawidłowość obliczenia dofinansowania projektu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W ramach kryterium ocenie podlegać będzie p</w:t>
            </w:r>
            <w:r w:rsidRPr="005539CC">
              <w:rPr>
                <w:rFonts w:ascii="Arial Narrow" w:hAnsi="Arial Narrow"/>
                <w:sz w:val="20"/>
                <w:szCs w:val="20"/>
              </w:rPr>
              <w:t>rawidłowość obliczenia wartości kwotowej i wysokości procentowej wnioskowanego dofinansowania z uwzględnieniem m.in. przepisów dot. pomocy publicznej, przepisów dot. projektów generujących dochód.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2F73C9" w:rsidTr="004D5D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F73C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25 </w:t>
            </w:r>
          </w:p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Zakaz podwójnego finansowania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w projekcie nie występuje podwójne finansowanie wydatków w rozumieniu </w:t>
            </w:r>
            <w:r w:rsidRPr="005539CC">
              <w:rPr>
                <w:rFonts w:ascii="Arial Narrow" w:hAnsi="Arial Narrow" w:cs="Tahoma"/>
                <w:i/>
                <w:sz w:val="20"/>
                <w:szCs w:val="20"/>
              </w:rPr>
              <w:t xml:space="preserve">Wytycznych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2014-2020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 oraz zapisów wniosku o dofinansowanie.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2F73C9" w:rsidTr="004D5D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F73C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lastRenderedPageBreak/>
              <w:t xml:space="preserve">26 </w:t>
            </w:r>
          </w:p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Poprawność określenia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minimalnej / </w:t>
            </w:r>
            <w:r w:rsidRPr="005539CC">
              <w:rPr>
                <w:rFonts w:ascii="Arial Narrow" w:hAnsi="Arial Narrow"/>
                <w:sz w:val="20"/>
                <w:szCs w:val="20"/>
              </w:rPr>
              <w:t>maksymalnej wartości dofinansowania (jeśli dotyczy)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>W ramach kryterium ocenie podlegać będzie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zgodność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minimalnej/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maksymalnej wartości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dofinansowania określonej w Regulaminie konkursu lub określonej dla danego projektu zidentyfikowanego w trybie pozakonkursowym.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Tak / nie / nie dotyczy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2F73C9" w:rsidTr="004D5D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F73C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27 </w:t>
            </w:r>
          </w:p>
          <w:p w:rsidR="00351167" w:rsidRPr="002F73C9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Prawidłowość opracowanego montażu finansowego.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montaż finansowy projektu został przygotowany prawidłowo.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Zgodność projektu z wymogami określonymi w regulaminie konkursu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Projekt jest zgodny z określonymi w regulaminie konkursu wymogami dotyczącymi przygotowania projektów. 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przypadku trybu pozakonkursowego dokumentem wskazującym wymogi jest wezwanie do złożenia wniosku o dofinansowanie.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załączników.</w:t>
            </w:r>
          </w:p>
        </w:tc>
      </w:tr>
      <w:tr w:rsidR="00351167" w:rsidRPr="00C83EC8" w:rsidTr="004D5DDF">
        <w:tc>
          <w:tcPr>
            <w:tcW w:w="47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Projekt spełnia wymóg w zakresie nośności drogi 11,5 t/oś (jeśli dotyczy)</w:t>
            </w:r>
          </w:p>
        </w:tc>
        <w:tc>
          <w:tcPr>
            <w:tcW w:w="7840" w:type="dxa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W ramach kryterium ocenie podlegać będzie, czy projekt uwzględnia wymóg zapewnienia nośności drogi wynoszącej minimum 11,5 t na oś.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351167" w:rsidRPr="005539CC" w:rsidRDefault="00351167" w:rsidP="004D5DD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4D5DDF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wyjaśnień, w przypadku wątpliwości.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1" w:name="_Toc226780681"/>
    </w:p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MERYTORYCZNE </w:t>
      </w:r>
      <w:bookmarkEnd w:id="1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351167" w:rsidRPr="00C83EC8" w:rsidTr="004D5DDF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 xml:space="preserve">Tak / nie </w:t>
            </w:r>
          </w:p>
        </w:tc>
      </w:tr>
      <w:tr w:rsidR="00351167" w:rsidRPr="00C83EC8" w:rsidTr="004D5DDF">
        <w:tc>
          <w:tcPr>
            <w:tcW w:w="46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</w:p>
        </w:tc>
        <w:tc>
          <w:tcPr>
            <w:tcW w:w="2373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893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ocenie podlegać będzie</w:t>
            </w:r>
            <w:r w:rsidRPr="005539CC" w:rsidDel="001F6A4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zgodność inwestycji z typem projektu zapisanym:</w:t>
            </w:r>
          </w:p>
          <w:p w:rsidR="00351167" w:rsidRPr="005539CC" w:rsidRDefault="00351167" w:rsidP="004D5DDF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konkursowego - w Regulaminie konkursu (typ projektu zapisany w Regulaminie musi być zgodny i wynikać ze Szczegółowego opisu osi priorytetowych RPO WŁ na lata 2014-2020, określonego w Regulaminie konkursu), </w:t>
            </w:r>
          </w:p>
          <w:p w:rsidR="00351167" w:rsidRPr="005539CC" w:rsidRDefault="00351167" w:rsidP="004D5DDF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- 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>w przypadku trybu pozakonkursowego - w Szczegółowym opisie osi priorytetowych RPO WŁ na lata 2014-2020 dla danego działania lub poddziałania (pkt 9), określonym w wezwaniu do złożenia wniosku o dofinansowanie.</w:t>
            </w:r>
          </w:p>
        </w:tc>
        <w:tc>
          <w:tcPr>
            <w:tcW w:w="226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C83EC8" w:rsidTr="004D5DDF">
        <w:tc>
          <w:tcPr>
            <w:tcW w:w="46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2</w:t>
            </w:r>
          </w:p>
        </w:tc>
        <w:tc>
          <w:tcPr>
            <w:tcW w:w="2373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Projekt jest zgodny z obowiązującymi przepisami krajowymi i unijnymi</w:t>
            </w:r>
          </w:p>
        </w:tc>
        <w:tc>
          <w:tcPr>
            <w:tcW w:w="893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zgodność projektu z obowiązującymi przepisami krajowymi i unijnymi, dotyczącymi stosowania pomocy publicznej lub pomocy de minimis, prawa budowlanego i ochrony środowiska.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Jeżeli realizacja projektu zgłoszonego do objęcia dofinansowaniem rozpoczęła się przed dniem złożenia wniosku o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>dofinansowanie, oceniane będzie, czy w okresie tym przy realizacji projektu przestrzegano ww. przepisów prawa dotyczących danej operacji.</w:t>
            </w:r>
          </w:p>
        </w:tc>
        <w:tc>
          <w:tcPr>
            <w:tcW w:w="226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wniosku)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1167" w:rsidRPr="00C83EC8" w:rsidTr="004D5DDF">
        <w:tc>
          <w:tcPr>
            <w:tcW w:w="46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373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Wykonalność techniczna / technologiczna projektu</w:t>
            </w:r>
          </w:p>
        </w:tc>
        <w:tc>
          <w:tcPr>
            <w:tcW w:w="8931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539CC">
              <w:rPr>
                <w:rFonts w:ascii="Arial Narrow" w:hAnsi="Arial Narrow" w:cs="Calibri"/>
                <w:sz w:val="20"/>
                <w:szCs w:val="20"/>
              </w:rPr>
              <w:t>W ramach kryterium ocenie podlegać będą następujące elementy:</w:t>
            </w:r>
          </w:p>
          <w:p w:rsidR="00351167" w:rsidRPr="005539CC" w:rsidRDefault="00351167" w:rsidP="004D5DDF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-</w:t>
            </w:r>
            <w:r w:rsidRPr="005539CC">
              <w:rPr>
                <w:rFonts w:ascii="Arial Narrow" w:hAnsi="Arial Narrow" w:cs="TTE210AD98t00"/>
                <w:sz w:val="20"/>
                <w:szCs w:val="20"/>
              </w:rPr>
              <w:tab/>
              <w:t>czy opis cech proponowanych technologii, elementów inwestycji, parametrów technicznych inwestycji jest poprawny; czy opisane niezbędne rodzaje czynności, materiałów i usług wystarczą do osiągnięcia produktów projektu; dokonywana jest również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o</w:t>
            </w:r>
            <w:r w:rsidRPr="005539CC">
              <w:rPr>
                <w:rFonts w:ascii="Arial Narrow" w:hAnsi="Arial Narrow"/>
                <w:sz w:val="20"/>
                <w:szCs w:val="20"/>
              </w:rPr>
              <w:t>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5539CC">
              <w:rPr>
                <w:rFonts w:ascii="Arial Narrow" w:hAnsi="Arial Narrow"/>
                <w:sz w:val="20"/>
                <w:szCs w:val="20"/>
              </w:rPr>
              <w:t>zania bior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5539CC">
              <w:rPr>
                <w:rFonts w:ascii="Arial Narrow" w:hAnsi="Arial Narrow"/>
                <w:sz w:val="20"/>
                <w:szCs w:val="20"/>
              </w:rPr>
              <w:t>pod uwag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ę 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szybkie </w:t>
            </w:r>
            <w:r w:rsidRPr="005539CC">
              <w:rPr>
                <w:rFonts w:ascii="Arial Narrow" w:hAnsi="Arial Narrow"/>
                <w:bCs/>
                <w:sz w:val="20"/>
                <w:szCs w:val="20"/>
              </w:rPr>
              <w:t>starzenie si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ę </w:t>
            </w:r>
            <w:r w:rsidRPr="005539CC">
              <w:rPr>
                <w:rFonts w:ascii="Arial Narrow" w:hAnsi="Arial Narrow"/>
                <w:bCs/>
                <w:sz w:val="20"/>
                <w:szCs w:val="20"/>
              </w:rPr>
              <w:t>ekonomiczne urz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5539CC">
              <w:rPr>
                <w:rFonts w:ascii="Arial Narrow" w:hAnsi="Arial Narrow"/>
                <w:bCs/>
                <w:sz w:val="20"/>
                <w:szCs w:val="20"/>
              </w:rPr>
              <w:t>dze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5539CC">
              <w:rPr>
                <w:rFonts w:ascii="Arial Narrow" w:hAnsi="Arial Narrow"/>
                <w:bCs/>
                <w:sz w:val="20"/>
                <w:szCs w:val="20"/>
              </w:rPr>
              <w:t>i oprogramowania</w:t>
            </w:r>
            <w:r w:rsidRPr="005539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/>
                <w:sz w:val="20"/>
                <w:szCs w:val="20"/>
              </w:rPr>
              <w:t>i zapewniaj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5539CC">
              <w:rPr>
                <w:rFonts w:ascii="Arial Narrow" w:hAnsi="Arial Narrow"/>
                <w:sz w:val="20"/>
                <w:szCs w:val="20"/>
              </w:rPr>
              <w:t>funkcjonowanie maj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tku przynajmniej w okresach referencyjnych; </w:t>
            </w:r>
          </w:p>
          <w:p w:rsidR="00351167" w:rsidRPr="005539CC" w:rsidRDefault="00351167" w:rsidP="004D5DDF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5539CC">
              <w:rPr>
                <w:rFonts w:ascii="Arial Narrow" w:hAnsi="Arial Narrow"/>
                <w:sz w:val="20"/>
                <w:szCs w:val="20"/>
              </w:rPr>
              <w:tab/>
              <w:t>wykonalność projektu według planowanego harmonogramu, zakresu rzeczowego, złożoności procedur przetargowych, innych okoliczności warunkujących terminową realizację projektu;</w:t>
            </w:r>
          </w:p>
          <w:p w:rsidR="00351167" w:rsidRPr="005539CC" w:rsidRDefault="00351167" w:rsidP="004D5DDF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5539CC">
              <w:rPr>
                <w:rFonts w:ascii="Arial Narrow" w:hAnsi="Arial Narrow"/>
                <w:sz w:val="20"/>
                <w:szCs w:val="20"/>
              </w:rPr>
              <w:tab/>
              <w:t xml:space="preserve">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 (m.in. poprzez zastosowanie koncepcji uniwersalnego projektowania lub mechanizmu racjonalnych usprawnień, zgodnie z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Wytycznymi w zakresie realizacji zasady równości szans i niedyskryminacji, w tym dostępności dla osób z niepełnosprawnościami oraz zasady równości szans kobiet i mężczyzn w ramach funduszy unijnych na lata 2014-2020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C83EC8" w:rsidTr="004D5DDF">
        <w:tc>
          <w:tcPr>
            <w:tcW w:w="46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4</w:t>
            </w:r>
          </w:p>
        </w:tc>
        <w:tc>
          <w:tcPr>
            <w:tcW w:w="2373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Wykonalność finansowa / ekonomiczna projektu</w:t>
            </w:r>
          </w:p>
        </w:tc>
        <w:tc>
          <w:tcPr>
            <w:tcW w:w="8931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539CC">
              <w:rPr>
                <w:rFonts w:ascii="Arial Narrow" w:hAnsi="Arial Narrow" w:cs="Calibri"/>
                <w:sz w:val="20"/>
                <w:szCs w:val="20"/>
              </w:rPr>
              <w:t>W ramach kryterium ocenie podlegać będzie, czy: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Calibri"/>
                <w:sz w:val="20"/>
                <w:szCs w:val="20"/>
              </w:rPr>
              <w:t xml:space="preserve"> -</w:t>
            </w:r>
            <w:r w:rsidRPr="005539CC">
              <w:rPr>
                <w:rFonts w:ascii="Arial Narrow" w:hAnsi="Arial Narrow" w:cs="Calibri"/>
                <w:sz w:val="20"/>
                <w:szCs w:val="20"/>
              </w:rPr>
              <w:tab/>
              <w:t>analizy finansowa i ekonomiczna / kosztów i korzyści projektu zostały przeprowadzone poprawnie;</w:t>
            </w:r>
            <w:r w:rsidRPr="005539CC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weryfikacji podlegać będą: przyjęte założenia (c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zy podane 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ź</w:t>
            </w:r>
            <w:r w:rsidRPr="005539CC">
              <w:rPr>
                <w:rFonts w:ascii="Arial Narrow" w:hAnsi="Arial Narrow"/>
                <w:sz w:val="20"/>
                <w:szCs w:val="20"/>
              </w:rPr>
              <w:t>ródła szacunku nakładów i przychodów s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poprawne, czy założenia i uwarunkowania ekonomiczne są racjonalne i umożliwiają osiągnięcie jak najwyższego stopnia wykorzystania inwestycji przez odbiorców)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oraz prawidłowość metodologiczna i rachunkowa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(poprawno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5539CC">
              <w:rPr>
                <w:rFonts w:ascii="Arial Narrow" w:hAnsi="Arial Narrow"/>
                <w:sz w:val="20"/>
                <w:szCs w:val="20"/>
              </w:rPr>
              <w:t>dokonanych wylicze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ń,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poprawność kalkulacji przychodów, poprawność prognozy kosztów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)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5539CC">
              <w:rPr>
                <w:rFonts w:ascii="Arial Narrow" w:hAnsi="Arial Narrow" w:cs="Calibri"/>
                <w:sz w:val="20"/>
                <w:szCs w:val="20"/>
              </w:rPr>
              <w:t>koszty kwalifikowalne w projekcie są uzasadnione i zaplanowane w odpowiedniej wysokości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;</w:t>
            </w:r>
            <w:r w:rsidRPr="005539CC">
              <w:rPr>
                <w:rFonts w:ascii="Arial Narrow" w:hAnsi="Arial Narrow" w:cs="ArialNarrow"/>
                <w:sz w:val="20"/>
                <w:szCs w:val="20"/>
              </w:rPr>
              <w:t xml:space="preserve"> badaniu podlega niezbędność wydatków do realizacji projektu i osiągania jego celów</w:t>
            </w:r>
            <w:r w:rsidRPr="005539CC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51167" w:rsidRPr="005539CC" w:rsidRDefault="00351167" w:rsidP="004D5DDF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5539CC">
              <w:rPr>
                <w:rFonts w:ascii="Arial Narrow" w:hAnsi="Arial Narrow" w:cs="ArialNarrow"/>
                <w:sz w:val="20"/>
                <w:szCs w:val="20"/>
              </w:rPr>
              <w:t>poprawność ustalenia poziomu dofinansowania z uwzględnieniem przepisów w zakresie pomocy publicznej oraz przepisów dotyczących projektów generujących dochód; s</w:t>
            </w:r>
            <w:r w:rsidRPr="005539CC">
              <w:rPr>
                <w:rFonts w:ascii="Arial Narrow" w:hAnsi="Arial Narrow"/>
                <w:sz w:val="20"/>
                <w:szCs w:val="20"/>
              </w:rPr>
              <w:t>prawdzana jest poprawno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ść określenia poziomu wsparcia wynikająca z rozporządzeń ministra właściwego do spraw rozwoju regionalnego w sprawie udzielania pomocy na inwestycje określonego rodzaju w ramach regionalnych programów operacyjnych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, a także obowiązujących wytycznych wydanych przez ministra właściwego do spraw rozwoju regionalnego regulujących zasady dofinansowania z programów operacyjnych określonych kategorii wnioskodawców (m.in.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 xml:space="preserve">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publicznych w transporcie zbiorowym</w:t>
            </w:r>
            <w:r w:rsidRPr="005539CC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 oraz poprawność </w:t>
            </w:r>
            <w:r w:rsidRPr="005539CC">
              <w:rPr>
                <w:rFonts w:ascii="Arial Narrow" w:hAnsi="Arial Narrow"/>
                <w:sz w:val="20"/>
                <w:szCs w:val="20"/>
              </w:rPr>
              <w:t>dokonanych wylicze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ń, </w:t>
            </w:r>
            <w:r w:rsidRPr="005539CC">
              <w:rPr>
                <w:rFonts w:ascii="Arial Narrow" w:hAnsi="Arial Narrow"/>
                <w:sz w:val="20"/>
                <w:szCs w:val="20"/>
              </w:rPr>
              <w:t>w szczególno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5539CC">
              <w:rPr>
                <w:rFonts w:ascii="Arial Narrow" w:hAnsi="Arial Narrow"/>
                <w:sz w:val="20"/>
                <w:szCs w:val="20"/>
              </w:rPr>
              <w:t>ci wylicze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5539CC">
              <w:rPr>
                <w:rFonts w:ascii="Arial Narrow" w:hAnsi="Arial Narrow"/>
                <w:sz w:val="20"/>
                <w:szCs w:val="20"/>
              </w:rPr>
              <w:t>maj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5539CC">
              <w:rPr>
                <w:rFonts w:ascii="Arial Narrow" w:hAnsi="Arial Narrow"/>
                <w:sz w:val="20"/>
                <w:szCs w:val="20"/>
              </w:rPr>
              <w:t>cych wpływ na wysoko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5539CC">
              <w:rPr>
                <w:rFonts w:ascii="Arial Narrow" w:hAnsi="Arial Narrow"/>
                <w:sz w:val="20"/>
                <w:szCs w:val="20"/>
              </w:rPr>
              <w:t>wydatków kwalifikowanych, w tym wielko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5539CC">
              <w:rPr>
                <w:rFonts w:ascii="Arial Narrow" w:hAnsi="Arial Narrow"/>
                <w:sz w:val="20"/>
                <w:szCs w:val="20"/>
              </w:rPr>
              <w:t>luki finansowej (jeśli dotyczy);</w:t>
            </w:r>
          </w:p>
          <w:p w:rsidR="00351167" w:rsidRPr="005539CC" w:rsidRDefault="00351167" w:rsidP="004D5DDF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Narrow"/>
                <w:sz w:val="20"/>
                <w:szCs w:val="20"/>
              </w:rPr>
              <w:t xml:space="preserve"> -</w:t>
            </w:r>
            <w:r w:rsidRPr="005539CC">
              <w:rPr>
                <w:rFonts w:ascii="Arial Narrow" w:hAnsi="Arial Narrow" w:cs="ArialNarrow"/>
                <w:sz w:val="20"/>
                <w:szCs w:val="20"/>
              </w:rPr>
              <w:tab/>
              <w:t xml:space="preserve">wnioskodawca nie jest przedsiębiorstwem w trudnej sytuacji w rozumieniu unijnych przepisów dotyczących pomocy publicznej - 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definicja przedsiębiorstwa znajdującego się w trudnej sytuacji zamieszczona jest w pkt 24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Wytycznych dotyczących pomocy państwa na ratowanie i restrukturyzację przedsiębiorstw niefinansowych znajdujących się w trudnej sytuacji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Traktatu –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definicja zawarta jest w art. 2 pkt. 18 Rozporządzenia Nr 651/2014.</w:t>
            </w:r>
          </w:p>
        </w:tc>
        <w:tc>
          <w:tcPr>
            <w:tcW w:w="226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C83EC8" w:rsidTr="004D5DDF">
        <w:tc>
          <w:tcPr>
            <w:tcW w:w="46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5</w:t>
            </w:r>
          </w:p>
        </w:tc>
        <w:tc>
          <w:tcPr>
            <w:tcW w:w="2373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Wykonalność instytucjonalna </w:t>
            </w:r>
          </w:p>
        </w:tc>
        <w:tc>
          <w:tcPr>
            <w:tcW w:w="893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zdolność instytucjonalna do realizacji projektu, w tym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posiadanie kadry i zaplecza technicznego gwarantującego wykonalność projektu pod względem technicznym i finansowym (</w:t>
            </w:r>
            <w:r w:rsidRPr="005539CC">
              <w:rPr>
                <w:rFonts w:ascii="Arial Narrow" w:hAnsi="Arial Narrow" w:cs="TTE210AD98t00"/>
                <w:sz w:val="20"/>
                <w:szCs w:val="20"/>
              </w:rPr>
              <w:t>czy wnioskodawca jest przygotowany do realizacji projektu i czy przygotowano odpowiedni sposób wdrażania projektu).</w:t>
            </w:r>
          </w:p>
        </w:tc>
        <w:tc>
          <w:tcPr>
            <w:tcW w:w="226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C83EC8" w:rsidTr="004D5DDF">
        <w:tc>
          <w:tcPr>
            <w:tcW w:w="46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373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Realność wskaźników </w:t>
            </w:r>
          </w:p>
        </w:tc>
        <w:tc>
          <w:tcPr>
            <w:tcW w:w="8931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oceniane będzie czy: 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 xml:space="preserve"> -</w:t>
            </w: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ab/>
              <w:t>określone przez wnioskodawcę wskaźniki osiągnięcia celów projektu w pełni opisują charakter projektu i mogą zostać osiągnięte przy danych nakładach i założonym sposobie realizacji projektu;</w:t>
            </w:r>
          </w:p>
          <w:p w:rsidR="00351167" w:rsidRPr="005539CC" w:rsidRDefault="00351167" w:rsidP="004D5DDF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 xml:space="preserve"> -</w:t>
            </w: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ab/>
              <w:t>wskaźniki są adekwatne do zakresu rzeczowego projektu i celów, jakie projekt ma osiągnąć.</w:t>
            </w:r>
          </w:p>
        </w:tc>
        <w:tc>
          <w:tcPr>
            <w:tcW w:w="226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C83EC8" w:rsidTr="004D5DDF">
        <w:tc>
          <w:tcPr>
            <w:tcW w:w="46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373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Trwałość projektu</w:t>
            </w:r>
          </w:p>
        </w:tc>
        <w:tc>
          <w:tcPr>
            <w:tcW w:w="8931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 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 xml:space="preserve">Ocenie podlegać będzie także to, czy </w:t>
            </w:r>
            <w:r w:rsidRPr="005539CC">
              <w:rPr>
                <w:rFonts w:ascii="Arial Narrow" w:hAnsi="Arial Narrow" w:cs="MyriadPro-Cond"/>
                <w:sz w:val="20"/>
                <w:szCs w:val="20"/>
              </w:rPr>
              <w:t xml:space="preserve">wnioskodawca wykorzystuje produkty projektu zgodnie z przeznaczeniem, a projekt w pełni spełnia założone w nim cele. Sprawdzeniu podlegała będzie możliwość zapewnienia przez wnioskodawcę trwałości operacji, zgodnie z art. 71 </w:t>
            </w:r>
            <w:r w:rsidRPr="005539CC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5539CC">
              <w:rPr>
                <w:rFonts w:ascii="Arial Narrow" w:hAnsi="Arial Narrow" w:cs="MyriadPro-Cond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C83EC8" w:rsidTr="004D5DDF">
        <w:tc>
          <w:tcPr>
            <w:tcW w:w="462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373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Projekt zachowuje zgodność z Regionalnym Planem Transportowym Województwa Łódzkiego</w:t>
            </w:r>
          </w:p>
        </w:tc>
        <w:tc>
          <w:tcPr>
            <w:tcW w:w="8931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projekt jest zgodny z Regionalnym Planem Transportowym Województwa Łódzkiego, przygotowanym na potrzeby spełnienia warunkowości ex ante dla Celu Tematycznego 7, stanowiącym ramy odniesienia dla realizacji projektów transportowych.</w:t>
            </w:r>
          </w:p>
        </w:tc>
        <w:tc>
          <w:tcPr>
            <w:tcW w:w="226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1B25C7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2" w:name="_Toc226780682"/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MERYTORYCZNE </w:t>
      </w:r>
      <w:bookmarkEnd w:id="2"/>
      <w:r w:rsidR="00865908" w:rsidRPr="00865908">
        <w:rPr>
          <w:rFonts w:ascii="Arial Narrow" w:hAnsi="Arial Narrow" w:cs="Tahoma"/>
          <w:b/>
          <w:sz w:val="20"/>
          <w:szCs w:val="20"/>
          <w:lang w:eastAsia="pl-PL"/>
        </w:rPr>
        <w:t>PUNKTOWE</w:t>
      </w:r>
    </w:p>
    <w:p w:rsidR="00047385" w:rsidRPr="008664CB" w:rsidRDefault="00047385" w:rsidP="001B25C7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351167" w:rsidRPr="00C83EC8" w:rsidTr="004D5DDF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Sposób oceny kryterium</w:t>
            </w:r>
          </w:p>
        </w:tc>
      </w:tr>
      <w:tr w:rsidR="00351167" w:rsidRPr="00C83EC8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Stopień gotowości organizacyjno - instytucjonalnej wnioskodawcy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>W ramach kryterium oceniane będzie doświadczenie wnioskodawcy w zarządzaniu projektami / doświadczenie w realizacji projektów współfinansowanych ze środków UE.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/>
                <w:bCs/>
                <w:sz w:val="20"/>
                <w:szCs w:val="20"/>
              </w:rPr>
              <w:t>PUNKTACJA: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>1 pkt -   doświadczenie wnioskodawcy w:</w:t>
            </w:r>
          </w:p>
          <w:p w:rsidR="00351167" w:rsidRPr="005539CC" w:rsidRDefault="00351167" w:rsidP="00351167">
            <w:pPr>
              <w:numPr>
                <w:ilvl w:val="0"/>
                <w:numId w:val="4"/>
              </w:numPr>
              <w:spacing w:after="0" w:line="240" w:lineRule="auto"/>
              <w:ind w:left="972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 xml:space="preserve">  zarządzaniu projektami lub </w:t>
            </w:r>
          </w:p>
          <w:p w:rsidR="00351167" w:rsidRPr="005539CC" w:rsidRDefault="00351167" w:rsidP="00351167">
            <w:pPr>
              <w:numPr>
                <w:ilvl w:val="0"/>
                <w:numId w:val="4"/>
              </w:numPr>
              <w:spacing w:after="0" w:line="240" w:lineRule="auto"/>
              <w:ind w:left="972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 xml:space="preserve">  w realizacji projektów współfinansowanych ze środków UE (wnioskodawca był lub jest beneficjentem</w:t>
            </w:r>
          </w:p>
          <w:p w:rsidR="00351167" w:rsidRPr="005539CC" w:rsidRDefault="00351167" w:rsidP="004D5DDF">
            <w:pPr>
              <w:spacing w:after="0" w:line="240" w:lineRule="auto"/>
              <w:ind w:left="688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 xml:space="preserve">  projektu, partnerem albo uczestniczył lub uczestniczy w realizacji projektu, np. był lub jest jego   </w:t>
            </w:r>
          </w:p>
          <w:p w:rsidR="00351167" w:rsidRPr="005539CC" w:rsidRDefault="00351167" w:rsidP="004D5DDF">
            <w:pPr>
              <w:spacing w:after="0" w:line="240" w:lineRule="auto"/>
              <w:ind w:left="688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 xml:space="preserve">  realizatorem) </w:t>
            </w:r>
          </w:p>
          <w:p w:rsidR="00351167" w:rsidRPr="005539CC" w:rsidRDefault="00351167" w:rsidP="004D5DDF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 xml:space="preserve">1 pkt -    wnioskodawca był lub jest beneficjentem co najmniej 1 projektu współfinansowanego ze środków UE   </w:t>
            </w:r>
          </w:p>
          <w:p w:rsidR="00351167" w:rsidRPr="005539CC" w:rsidRDefault="00351167" w:rsidP="004D5DDF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 xml:space="preserve">              którego wartość wydatków kwalifikowalnych jest równa lub wyższa od wartości wydatków kwalifikowalnych </w:t>
            </w:r>
          </w:p>
          <w:p w:rsidR="00351167" w:rsidRPr="005539CC" w:rsidRDefault="00351167" w:rsidP="004D5DDF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 xml:space="preserve">              ocenianego projektu</w:t>
            </w:r>
          </w:p>
          <w:p w:rsidR="00351167" w:rsidRPr="005539CC" w:rsidRDefault="00351167" w:rsidP="004D5DDF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 xml:space="preserve">2 pkt -    wnioskodawca był beneficjentem co najmniej 1 projektu współfinansowanego ze środków UE, który został </w:t>
            </w:r>
          </w:p>
          <w:p w:rsidR="00351167" w:rsidRPr="005539CC" w:rsidRDefault="00351167" w:rsidP="004D5DDF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 xml:space="preserve">              zakończony i rozliczony do dnia złożenia wniosku o dofinansowanie dla ocenianego projektu</w:t>
            </w:r>
          </w:p>
          <w:p w:rsidR="00351167" w:rsidRPr="005539CC" w:rsidRDefault="00351167" w:rsidP="004D5DDF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Cs/>
                <w:sz w:val="20"/>
                <w:szCs w:val="20"/>
              </w:rPr>
              <w:t>Punkty będą przyznawane za spełnienie jednego z wyżej przewidzianych komponentów. Uzyskane punkty podlegają sumowaniu.</w:t>
            </w:r>
          </w:p>
        </w:tc>
      </w:tr>
      <w:tr w:rsidR="00351167" w:rsidRPr="00C83EC8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Stopień komplementarności z innymi przedsięwzięciami 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oceniana będzie komplementarność projektów rozumiana jako ich dopełnianie się prowadzące do realizacji określonego celu. Weryfikacji podlegać będzie </w:t>
            </w:r>
            <w:r w:rsidRPr="005539CC">
              <w:rPr>
                <w:rFonts w:ascii="Arial Narrow" w:hAnsi="Arial Narrow"/>
                <w:sz w:val="20"/>
                <w:szCs w:val="20"/>
              </w:rPr>
              <w:t>powiązanie projektu z innymi przedsięwzięciami, zarówno tymi zrealizowanymi, jak też z tymi, które są w trakcie realizacji, lub które dopiero zostały zaakceptowane do realizacji (bez względu na źródło finansowania czy też podmiot realizujący).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W obszarze transportu, komplementarność może dotyczyć zarówno projektów z tej samej gałęzi transportu, jak i innych gałęzi. 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351167" w:rsidRPr="005539CC" w:rsidRDefault="00351167" w:rsidP="004D5DDF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1 pkt -    przy realizacji projektu będą wykorzystywane efekty realizacji innego projektu, nastąpi wzmocnienie      </w:t>
            </w:r>
          </w:p>
          <w:p w:rsidR="00351167" w:rsidRPr="005539CC" w:rsidRDefault="00351167" w:rsidP="004D5DDF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           trwałości efektów jednego przedsięwzięcia realizacją innego</w:t>
            </w:r>
          </w:p>
          <w:p w:rsidR="00351167" w:rsidRPr="005539CC" w:rsidRDefault="00351167" w:rsidP="004D5DDF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1 pkt -    projekty są adresowane do tej samej grupy docelowej lub tego samego terytorium, lub rozwiązują ten sam  </w:t>
            </w:r>
          </w:p>
          <w:p w:rsidR="00351167" w:rsidRPr="005539CC" w:rsidRDefault="00351167" w:rsidP="004D5DDF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           problem</w:t>
            </w:r>
          </w:p>
          <w:p w:rsidR="00351167" w:rsidRPr="005539CC" w:rsidRDefault="00351167" w:rsidP="004D5DDF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1 pkt -    realizacja jednego projektu jest uzależniona od przeprowadzenia innego przedsięwzięcia lub projekt </w:t>
            </w:r>
          </w:p>
          <w:p w:rsidR="00351167" w:rsidRPr="005539CC" w:rsidRDefault="00351167" w:rsidP="004D5DDF">
            <w:pPr>
              <w:spacing w:after="0" w:line="240" w:lineRule="auto"/>
              <w:ind w:left="547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           stanowi ostatni etap szerszego przedsięwzięcia, lub kontynuację wcześniej realizowanych przedsięwzięć</w:t>
            </w:r>
          </w:p>
          <w:p w:rsidR="00351167" w:rsidRPr="005539CC" w:rsidRDefault="00351167" w:rsidP="004D5DDF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>1 pkt -    projekt jest elementem szerszej strategii realizowanej przez szereg projektów komplementarnych</w:t>
            </w:r>
          </w:p>
          <w:p w:rsidR="00351167" w:rsidRPr="005539CC" w:rsidRDefault="00351167" w:rsidP="004D5DDF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Punkt będzie przyznawany za spełnienie jednego z wyżej przewidzianych komponentów. Uzyskane punkty podlegają sumowaniu.</w:t>
            </w:r>
          </w:p>
        </w:tc>
      </w:tr>
      <w:tr w:rsidR="00351167" w:rsidRPr="00C83EC8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Sprzyjanie wypełnieniu wymogów zasady „n+3”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0/3 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PUNKTACJA:</w:t>
            </w:r>
          </w:p>
          <w:p w:rsidR="00351167" w:rsidRPr="005539CC" w:rsidRDefault="00351167" w:rsidP="004D5DDF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0 pkt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>projekt nie sprzyja wypełnianiu wymogów zasady „n+3”</w:t>
            </w:r>
          </w:p>
          <w:p w:rsidR="00351167" w:rsidRPr="005539CC" w:rsidRDefault="00351167" w:rsidP="004D5DDF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3 pkt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>projekt sprzyja wypełnianiu wymogów zasady „n+3”</w:t>
            </w:r>
          </w:p>
        </w:tc>
      </w:tr>
      <w:tr w:rsidR="00351167" w:rsidRPr="00C83EC8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Stopień przygotowania projektu do realizacji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Kryterium będzie służyło ocenie stopnia przygotowania projektu do wdrożenia – w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zale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ż</w:t>
            </w:r>
            <w:r w:rsidRPr="005539CC">
              <w:rPr>
                <w:rFonts w:ascii="Arial Narrow" w:hAnsi="Arial Narrow"/>
                <w:sz w:val="20"/>
                <w:szCs w:val="20"/>
              </w:rPr>
              <w:t>no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5539CC">
              <w:rPr>
                <w:rFonts w:ascii="Arial Narrow" w:hAnsi="Arial Narrow"/>
                <w:sz w:val="20"/>
                <w:szCs w:val="20"/>
              </w:rPr>
              <w:t>ci od, działania lub poddziałania, typu projektu badane będzie udokumentowane prawo do dysponowania gruntami lub obiektami na cele inwestycji, posiadanie wymaganej dokumentacji technicznej i projektowej, wymaganych prawem decyzji, uzgodnie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5539CC">
              <w:rPr>
                <w:rFonts w:ascii="Arial Narrow" w:hAnsi="Arial Narrow"/>
                <w:sz w:val="20"/>
                <w:szCs w:val="20"/>
              </w:rPr>
              <w:t>i pozwole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5539CC">
              <w:rPr>
                <w:rFonts w:ascii="Arial Narrow" w:hAnsi="Arial Narrow"/>
                <w:sz w:val="20"/>
                <w:szCs w:val="20"/>
              </w:rPr>
              <w:t>administracyjnych w szczególno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5539CC">
              <w:rPr>
                <w:rFonts w:ascii="Arial Narrow" w:hAnsi="Arial Narrow"/>
                <w:sz w:val="20"/>
                <w:szCs w:val="20"/>
              </w:rPr>
              <w:t>ci: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263" w:hanging="2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     -       zgodno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inwestycji z miejscowym planem zagospodarowania przestrzennego/decyzje o warunkach  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263" w:hanging="2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             zabudowy i zagospodarowania terenu/ustalenie lokalizacji inwestycji celu publicznego,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      -       posiadanie pozwolenia na budow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ę</w:t>
            </w:r>
            <w:r w:rsidRPr="005539C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      -       posiadanie dokumentacji przetargowej lub specyfikacji istotnych warunków zamówienia,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      -       posiadanie innych wymaganych prawem dokumentów zwi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5539CC">
              <w:rPr>
                <w:rFonts w:ascii="Arial Narrow" w:hAnsi="Arial Narrow"/>
                <w:sz w:val="20"/>
                <w:szCs w:val="20"/>
              </w:rPr>
              <w:t>zanych z realizacj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5539CC">
              <w:rPr>
                <w:rFonts w:ascii="Arial Narrow" w:hAnsi="Arial Narrow"/>
                <w:sz w:val="20"/>
                <w:szCs w:val="20"/>
              </w:rPr>
              <w:t>przedsi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ę</w:t>
            </w:r>
            <w:r w:rsidRPr="005539CC">
              <w:rPr>
                <w:rFonts w:ascii="Arial Narrow" w:hAnsi="Arial Narrow"/>
                <w:sz w:val="20"/>
                <w:szCs w:val="20"/>
              </w:rPr>
              <w:t>wzi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>ę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cia danego    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              typu,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      -       </w:t>
            </w:r>
            <w:r w:rsidRPr="005539CC">
              <w:rPr>
                <w:rFonts w:ascii="Arial Narrow" w:hAnsi="Arial Narrow" w:cs="Calibri"/>
                <w:sz w:val="20"/>
                <w:szCs w:val="20"/>
              </w:rPr>
              <w:t>posiadanie dokumentacji technicznej lub programu funkcjonalno-użytkowego;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351167" w:rsidRPr="00C83EC8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Realizacja projektu w partnerstwie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351167" w:rsidRPr="005539CC" w:rsidDel="009749B7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51167" w:rsidRPr="005539CC" w:rsidDel="009749B7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Nie jest projektem realizowanym w partnerstwie przedsięwzięcie, w którym zadania wnioskodawcy (beneficjenta) ma pełnić jego jednostka organizacyjna, mająca status realizatora projektu.</w:t>
            </w:r>
          </w:p>
          <w:p w:rsidR="00351167" w:rsidRPr="005539CC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0 pkt -   projekt nie jest realizowany w partnerstwie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1 pkt -   projekt jest realizowany w partnerstwie</w:t>
            </w:r>
          </w:p>
        </w:tc>
      </w:tr>
      <w:tr w:rsidR="00351167" w:rsidRPr="00C83EC8" w:rsidTr="004D5DDF">
        <w:tc>
          <w:tcPr>
            <w:tcW w:w="4737" w:type="dxa"/>
            <w:gridSpan w:val="4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Tahoma"/>
                <w:b/>
                <w:sz w:val="18"/>
                <w:szCs w:val="18"/>
              </w:rPr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28</w:t>
            </w:r>
          </w:p>
        </w:tc>
        <w:tc>
          <w:tcPr>
            <w:tcW w:w="8591" w:type="dxa"/>
            <w:shd w:val="clear" w:color="auto" w:fill="BFBFBF"/>
          </w:tcPr>
          <w:p w:rsidR="00351167" w:rsidRPr="00C83EC8" w:rsidRDefault="00351167" w:rsidP="004D5DDF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635D43" w:rsidRDefault="00635D43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>DZIAŁANIE III.</w:t>
      </w:r>
      <w:r w:rsidR="00FC43E6">
        <w:rPr>
          <w:rFonts w:ascii="Arial Narrow" w:hAnsi="Arial Narrow" w:cs="Tahoma"/>
          <w:b/>
          <w:sz w:val="20"/>
          <w:szCs w:val="20"/>
          <w:lang w:eastAsia="pl-PL"/>
        </w:rPr>
        <w:t>3 Transport multimodalny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351167" w:rsidRPr="008664CB" w:rsidTr="004D5DDF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Sposób oceny kryterium</w:t>
            </w:r>
          </w:p>
        </w:tc>
      </w:tr>
      <w:tr w:rsidR="00351167" w:rsidRPr="008664CB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Innowacyjność zastosowanych rozwiązań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Ocenie podlegać będzie planowane zastosowanie innowacyjnych rozwiązań w projekcie, takich jak: systemy zarządzania i monitorowania ruchu (teleinformatyczne i telematyczne) związane z obsługą transportu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multimodalnego, które przyczynią się do skrócenia czasu przeładunku towarów oraz zwiększenia przepustowości terminali multimodalnych.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Punktacja przyznawana będzie każdorazowo przez KOP.</w:t>
            </w:r>
          </w:p>
        </w:tc>
      </w:tr>
      <w:tr w:rsidR="00351167" w:rsidRPr="008664CB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Skrócenie czasu dostawy towarów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Ocenie podlegać będzie planowany wpływ realizacji projektu na skrócenie czasu dostawy / transportu towarów. Premiowany będzie wpływ projektu na czas dostawy towarów biorących udział w transporcie multimodalnym.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Punktacja przyznawana będzie każdorazowo przez KOP.</w:t>
            </w:r>
          </w:p>
        </w:tc>
      </w:tr>
      <w:tr w:rsidR="00351167" w:rsidRPr="008664CB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Stopień wpływu projektu na zwiększenie zdolności przeładunkowych terminali multimodalnych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Ocenie podlegać będzie planowany wpływ projektu na zwiększenie zdolności przeładunkowych terminali multimodalnych, wyrażone w TEU/rok. 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ab/>
              <w:t>przewiduje się, że projekt nie przyczyni się do zwiększenia zdolności przeładunkowych terminali multimodalnych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ab/>
              <w:t>przewiduje się, że projekt przyczyni się do zwiększenia zdolności przeładunkowych na poziomie poniżej 10%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ab/>
              <w:t>przewiduje się, że projekt przyczyni się do zwiększenia zdolności przeładunkowych na poziomie od 10% do 25%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3 pkt -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ab/>
              <w:t>przewiduje się, że projekt przyczyni się do zwiększenia zdolności przeładunkowych na poziomie powyżej 25%</w:t>
            </w:r>
          </w:p>
        </w:tc>
      </w:tr>
      <w:tr w:rsidR="00351167" w:rsidRPr="008664CB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Stopień wpływu projektu na zwiększenie liczby miejsc pracy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Ocenie podlegać będzie zakładany wpływ projektu na tworzenie potencjalnych miejsc pracy w sektorze transportowym w regionie. Oceniane będą zarówno deklarowana przez wnioskodawcę ilość nowych miejsc pracy powstałych w wyniku realizacji projektu, jak również potencjał rozwoju regionu pod względem nowych miejsc pracy w gałęziach uzależnionych od sektora logistyki.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351167" w:rsidRPr="005539CC" w:rsidRDefault="00351167" w:rsidP="004D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Punktacja przyznawana będzie każdorazowo przez KOP.</w:t>
            </w:r>
          </w:p>
        </w:tc>
      </w:tr>
      <w:tr w:rsidR="00351167" w:rsidRPr="008664CB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Lokalizacja projektu względem sieci TEN-T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Ocenie podlegać będzie przynależność terminala będącego przedmiotem projektu do sieci TEN-T. Wsparciem w ramach RPO WŁ 2014-2020 będą objęte w szczególności projekty nie należące do sieci TEN-T, , co nie wyklucza dofinansowania terminali znajdujących się w sieci TEN-T.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351167" w:rsidRPr="005539CC" w:rsidRDefault="00351167" w:rsidP="004D5DDF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ab/>
              <w:t>projekt dotyczy terminala należącego do sieci TEN-T</w:t>
            </w:r>
          </w:p>
          <w:p w:rsidR="00351167" w:rsidRPr="005539CC" w:rsidRDefault="00351167" w:rsidP="004D5DDF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ab/>
              <w:t>projekt dotyczy terminala zlokalizowanego poza siecią TEN-T</w:t>
            </w:r>
          </w:p>
        </w:tc>
      </w:tr>
      <w:tr w:rsidR="00351167" w:rsidRPr="008664CB" w:rsidTr="004D5DDF">
        <w:tc>
          <w:tcPr>
            <w:tcW w:w="508" w:type="dxa"/>
            <w:vAlign w:val="center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Lokalizacja projektu względem obszarów miejskich</w:t>
            </w:r>
          </w:p>
        </w:tc>
        <w:tc>
          <w:tcPr>
            <w:tcW w:w="1128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Ocenie podlegać będzie lokalizacja projektu względem obszarów miejskich. Promowane będą projekty zlokalizowane w odległości do 10 km od większych ośrodków miejskich.</w:t>
            </w:r>
          </w:p>
          <w:p w:rsidR="00351167" w:rsidRPr="005539CC" w:rsidRDefault="00351167" w:rsidP="004D5DD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351167" w:rsidRPr="005539CC" w:rsidRDefault="00351167" w:rsidP="004D5DDF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ab/>
              <w:t>projekt zlokalizowany jest w odległości większej niż 10 km od granic obszarów miejskich lub w odległości do 10 km od granic miasta o liczbie mieszkańców poniżej 10 000</w:t>
            </w:r>
          </w:p>
          <w:p w:rsidR="00351167" w:rsidRPr="005539CC" w:rsidRDefault="00351167" w:rsidP="004D5DDF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lastRenderedPageBreak/>
              <w:t>1 pkt -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ab/>
              <w:t>projekt zlokalizowany jest w odległości do 10 km od granic miasta o liczbie mieszkańców w przedziale 10 000 – 24 999</w:t>
            </w:r>
          </w:p>
          <w:p w:rsidR="00351167" w:rsidRPr="005539CC" w:rsidRDefault="00351167" w:rsidP="004D5DDF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ab/>
              <w:t>projekt zlokalizowany jest w odległości do 10 km od granic miasta o liczbie mieszkańców w przedziale 25 000 – 50 000</w:t>
            </w:r>
          </w:p>
          <w:p w:rsidR="00351167" w:rsidRPr="005539CC" w:rsidRDefault="00351167" w:rsidP="004D5DDF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3 pkt -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ab/>
              <w:t>projekt zlokalizowany jest w odległości do 10 km od granic miasta o liczbie mieszkańców powyżej 50 000</w:t>
            </w:r>
          </w:p>
        </w:tc>
      </w:tr>
      <w:tr w:rsidR="00351167" w:rsidRPr="008664CB" w:rsidTr="004D5DDF">
        <w:tc>
          <w:tcPr>
            <w:tcW w:w="4737" w:type="dxa"/>
            <w:gridSpan w:val="4"/>
            <w:shd w:val="clear" w:color="auto" w:fill="BFBFBF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3EC8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706" w:type="dxa"/>
            <w:shd w:val="clear" w:color="auto" w:fill="BFBFBF"/>
          </w:tcPr>
          <w:p w:rsidR="00351167" w:rsidRPr="00C83EC8" w:rsidRDefault="00351167" w:rsidP="004D5DD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48</w:t>
            </w:r>
          </w:p>
        </w:tc>
        <w:tc>
          <w:tcPr>
            <w:tcW w:w="8591" w:type="dxa"/>
            <w:shd w:val="clear" w:color="auto" w:fill="BFBFBF"/>
          </w:tcPr>
          <w:p w:rsidR="00351167" w:rsidRPr="00C83EC8" w:rsidRDefault="00351167" w:rsidP="004D5DDF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54AC6" w:rsidRPr="008664CB" w:rsidRDefault="00754AC6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3" w:name="_GoBack"/>
      <w:bookmarkEnd w:id="3"/>
    </w:p>
    <w:p w:rsidR="00754AC6" w:rsidRPr="008664CB" w:rsidRDefault="00754AC6" w:rsidP="002E2BE1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sectPr w:rsidR="00754AC6" w:rsidRPr="008664CB" w:rsidSect="003002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06" w:rsidRDefault="00ED0D06" w:rsidP="00522A0B">
      <w:pPr>
        <w:spacing w:after="0" w:line="240" w:lineRule="auto"/>
      </w:pPr>
      <w:r>
        <w:separator/>
      </w:r>
    </w:p>
  </w:endnote>
  <w:endnote w:type="continuationSeparator" w:id="0">
    <w:p w:rsidR="00ED0D06" w:rsidRDefault="00ED0D06" w:rsidP="0052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TTE210AD98t00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MyriadPro-Cond"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06" w:rsidRDefault="00ED0D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1167">
      <w:rPr>
        <w:noProof/>
      </w:rPr>
      <w:t>11</w:t>
    </w:r>
    <w:r>
      <w:rPr>
        <w:noProof/>
      </w:rPr>
      <w:fldChar w:fldCharType="end"/>
    </w:r>
  </w:p>
  <w:p w:rsidR="00ED0D06" w:rsidRDefault="00ED0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06" w:rsidRDefault="00ED0D06" w:rsidP="00522A0B">
      <w:pPr>
        <w:spacing w:after="0" w:line="240" w:lineRule="auto"/>
      </w:pPr>
      <w:r>
        <w:separator/>
      </w:r>
    </w:p>
  </w:footnote>
  <w:footnote w:type="continuationSeparator" w:id="0">
    <w:p w:rsidR="00ED0D06" w:rsidRDefault="00ED0D06" w:rsidP="0052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06" w:rsidRDefault="00ED0D06" w:rsidP="005D4C54">
    <w:pPr>
      <w:pStyle w:val="Nagwek"/>
      <w:jc w:val="center"/>
      <w:rPr>
        <w:b/>
      </w:rPr>
    </w:pPr>
    <w:r w:rsidRPr="005D4C54">
      <w:rPr>
        <w:b/>
        <w:noProof/>
        <w:lang w:eastAsia="pl-PL"/>
      </w:rPr>
      <w:drawing>
        <wp:inline distT="0" distB="0" distL="0" distR="0">
          <wp:extent cx="5760720" cy="640715"/>
          <wp:effectExtent l="0" t="0" r="0" b="0"/>
          <wp:docPr id="1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D06" w:rsidRPr="005D4C54" w:rsidRDefault="00ED0D06" w:rsidP="005D4C5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F499F"/>
    <w:multiLevelType w:val="hybridMultilevel"/>
    <w:tmpl w:val="876CCB80"/>
    <w:lvl w:ilvl="0" w:tplc="1E2E4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6201"/>
    <w:multiLevelType w:val="hybridMultilevel"/>
    <w:tmpl w:val="206412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6EB4D7E"/>
    <w:multiLevelType w:val="hybridMultilevel"/>
    <w:tmpl w:val="5E8CBC04"/>
    <w:lvl w:ilvl="0" w:tplc="36FE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0C73"/>
    <w:rsid w:val="00002A10"/>
    <w:rsid w:val="000328A3"/>
    <w:rsid w:val="00032BAF"/>
    <w:rsid w:val="00047385"/>
    <w:rsid w:val="00077537"/>
    <w:rsid w:val="000A16A1"/>
    <w:rsid w:val="000A5CDB"/>
    <w:rsid w:val="000B5A30"/>
    <w:rsid w:val="000D75AB"/>
    <w:rsid w:val="00106565"/>
    <w:rsid w:val="001074A4"/>
    <w:rsid w:val="00115AB5"/>
    <w:rsid w:val="00116F82"/>
    <w:rsid w:val="00166354"/>
    <w:rsid w:val="00181473"/>
    <w:rsid w:val="001B25C7"/>
    <w:rsid w:val="001D3B9B"/>
    <w:rsid w:val="001E12E4"/>
    <w:rsid w:val="001E1680"/>
    <w:rsid w:val="001F6A41"/>
    <w:rsid w:val="00213603"/>
    <w:rsid w:val="002224A8"/>
    <w:rsid w:val="002C4E4F"/>
    <w:rsid w:val="002D7024"/>
    <w:rsid w:val="002E2BE1"/>
    <w:rsid w:val="002F73C9"/>
    <w:rsid w:val="003002F0"/>
    <w:rsid w:val="00305F45"/>
    <w:rsid w:val="00313E6F"/>
    <w:rsid w:val="003447B7"/>
    <w:rsid w:val="00351167"/>
    <w:rsid w:val="003C3F17"/>
    <w:rsid w:val="003F5E84"/>
    <w:rsid w:val="0043496D"/>
    <w:rsid w:val="00447869"/>
    <w:rsid w:val="004755E6"/>
    <w:rsid w:val="00480814"/>
    <w:rsid w:val="004809BE"/>
    <w:rsid w:val="00485449"/>
    <w:rsid w:val="004E6463"/>
    <w:rsid w:val="004E6560"/>
    <w:rsid w:val="00501D9E"/>
    <w:rsid w:val="00522A0B"/>
    <w:rsid w:val="00572CD5"/>
    <w:rsid w:val="00584B48"/>
    <w:rsid w:val="00585FDF"/>
    <w:rsid w:val="005A32F7"/>
    <w:rsid w:val="005D4C54"/>
    <w:rsid w:val="006018CB"/>
    <w:rsid w:val="00635D43"/>
    <w:rsid w:val="006415B5"/>
    <w:rsid w:val="0066340E"/>
    <w:rsid w:val="006B191F"/>
    <w:rsid w:val="006E5975"/>
    <w:rsid w:val="006F688A"/>
    <w:rsid w:val="0070199B"/>
    <w:rsid w:val="00711858"/>
    <w:rsid w:val="00754AC6"/>
    <w:rsid w:val="007651AF"/>
    <w:rsid w:val="00765A8D"/>
    <w:rsid w:val="007C587F"/>
    <w:rsid w:val="007D1E0E"/>
    <w:rsid w:val="007E36FF"/>
    <w:rsid w:val="008036CB"/>
    <w:rsid w:val="0081607A"/>
    <w:rsid w:val="008258F6"/>
    <w:rsid w:val="00851743"/>
    <w:rsid w:val="00865908"/>
    <w:rsid w:val="008664CB"/>
    <w:rsid w:val="00894059"/>
    <w:rsid w:val="00894C61"/>
    <w:rsid w:val="008B0BCC"/>
    <w:rsid w:val="008F5240"/>
    <w:rsid w:val="00907500"/>
    <w:rsid w:val="00926F44"/>
    <w:rsid w:val="009364E2"/>
    <w:rsid w:val="009439EE"/>
    <w:rsid w:val="009508C6"/>
    <w:rsid w:val="00973351"/>
    <w:rsid w:val="009749B7"/>
    <w:rsid w:val="00980893"/>
    <w:rsid w:val="009A5743"/>
    <w:rsid w:val="009C0E4A"/>
    <w:rsid w:val="00A64D5A"/>
    <w:rsid w:val="00A93DEC"/>
    <w:rsid w:val="00AA4F4D"/>
    <w:rsid w:val="00AE4A15"/>
    <w:rsid w:val="00B055E0"/>
    <w:rsid w:val="00B1622B"/>
    <w:rsid w:val="00B24301"/>
    <w:rsid w:val="00B60C73"/>
    <w:rsid w:val="00B8177D"/>
    <w:rsid w:val="00BE1F81"/>
    <w:rsid w:val="00C37FBF"/>
    <w:rsid w:val="00C54C38"/>
    <w:rsid w:val="00C62C17"/>
    <w:rsid w:val="00C83EC8"/>
    <w:rsid w:val="00CB34B4"/>
    <w:rsid w:val="00CC209A"/>
    <w:rsid w:val="00D354F2"/>
    <w:rsid w:val="00D452C3"/>
    <w:rsid w:val="00D76660"/>
    <w:rsid w:val="00DC2DF6"/>
    <w:rsid w:val="00DD399A"/>
    <w:rsid w:val="00DE2615"/>
    <w:rsid w:val="00EB4B69"/>
    <w:rsid w:val="00ED0D06"/>
    <w:rsid w:val="00EF0F5C"/>
    <w:rsid w:val="00EF3B61"/>
    <w:rsid w:val="00F26765"/>
    <w:rsid w:val="00F3224D"/>
    <w:rsid w:val="00F329AA"/>
    <w:rsid w:val="00F352C9"/>
    <w:rsid w:val="00F374B9"/>
    <w:rsid w:val="00F83143"/>
    <w:rsid w:val="00F9320A"/>
    <w:rsid w:val="00F94C95"/>
    <w:rsid w:val="00FB69EC"/>
    <w:rsid w:val="00FC1E42"/>
    <w:rsid w:val="00FC43E6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BF4587"/>
  <w15:docId w15:val="{1BB813A8-1050-4AB5-A1F8-3CC2A0BC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22A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22A0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E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93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List Paragraph,Wykres"/>
    <w:basedOn w:val="Normalny"/>
    <w:link w:val="AkapitzlistZnak"/>
    <w:uiPriority w:val="34"/>
    <w:qFormat/>
    <w:rsid w:val="003511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Wykres Znak,Akapit z listą1 Znak"/>
    <w:link w:val="Akapitzlist"/>
    <w:uiPriority w:val="34"/>
    <w:qFormat/>
    <w:locked/>
    <w:rsid w:val="00351167"/>
    <w:rPr>
      <w:rFonts w:ascii="Times New Roman" w:eastAsia="Times New Roman" w:hAnsi="Times New Roman"/>
    </w:rPr>
  </w:style>
  <w:style w:type="character" w:customStyle="1" w:styleId="FontStyle18">
    <w:name w:val="Font Style18"/>
    <w:uiPriority w:val="99"/>
    <w:rsid w:val="00351167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5676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Umiński</dc:creator>
  <cp:keywords/>
  <dc:description/>
  <cp:lastModifiedBy>Magdalena Krupińska</cp:lastModifiedBy>
  <cp:revision>91</cp:revision>
  <cp:lastPrinted>2017-03-15T12:39:00Z</cp:lastPrinted>
  <dcterms:created xsi:type="dcterms:W3CDTF">2016-06-29T05:19:00Z</dcterms:created>
  <dcterms:modified xsi:type="dcterms:W3CDTF">2021-11-08T10:29:00Z</dcterms:modified>
</cp:coreProperties>
</file>