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AC6FB7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AC6FB7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015629C2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AC6FB7">
        <w:rPr>
          <w:rFonts w:ascii="Arial" w:hAnsi="Arial" w:cs="Arial"/>
          <w:sz w:val="20"/>
          <w:szCs w:val="20"/>
        </w:rPr>
        <w:br/>
        <w:t>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</w:t>
      </w:r>
      <w:r w:rsidRPr="00AC6FB7">
        <w:rPr>
          <w:rFonts w:ascii="Arial" w:hAnsi="Arial" w:cs="Arial"/>
          <w:sz w:val="20"/>
          <w:szCs w:val="20"/>
        </w:rPr>
        <w:br/>
        <w:t xml:space="preserve">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706C950D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</w:t>
      </w:r>
      <w:r w:rsidR="00A74234">
        <w:rPr>
          <w:rFonts w:ascii="Arial" w:hAnsi="Arial" w:cs="Arial"/>
          <w:sz w:val="20"/>
          <w:szCs w:val="20"/>
        </w:rPr>
        <w:t>1</w:t>
      </w:r>
      <w:r w:rsidRPr="002F487F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091F4F34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</w:t>
      </w:r>
      <w:r w:rsidR="00A74234" w:rsidRPr="00A74234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 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180BC250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91192F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253FC168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456B5B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C254" w14:textId="153236E1" w:rsidR="0091192F" w:rsidRPr="0091192F" w:rsidRDefault="00456B5B" w:rsidP="0091192F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13</w:t>
    </w:r>
    <w:r w:rsidR="0091192F" w:rsidRPr="0091192F">
      <w:rPr>
        <w:rFonts w:ascii="Arial" w:hAnsi="Arial" w:cs="Arial"/>
        <w:b/>
        <w:sz w:val="20"/>
        <w:szCs w:val="20"/>
      </w:rPr>
      <w:t xml:space="preserve"> – Umowa przenosząca autorskie prawa majątkowe oraz umowa licencyjna do serwisu internetowego/prezentacji multimedialnej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05AE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50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56B5B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05B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12F9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4631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192F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234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3AE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0D6E-07B3-4276-A706-E52D1789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2676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188</cp:revision>
  <cp:lastPrinted>2020-02-25T08:45:00Z</cp:lastPrinted>
  <dcterms:created xsi:type="dcterms:W3CDTF">2016-02-17T10:22:00Z</dcterms:created>
  <dcterms:modified xsi:type="dcterms:W3CDTF">2020-02-25T08:46:00Z</dcterms:modified>
</cp:coreProperties>
</file>