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D6647A" w:rsidRDefault="00817B2A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D6647A">
        <w:rPr>
          <w:rFonts w:ascii="Arial" w:hAnsi="Arial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795F181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9939B3">
        <w:rPr>
          <w:rFonts w:ascii="Arial" w:hAnsi="Arial" w:cs="Arial"/>
          <w:sz w:val="20"/>
          <w:szCs w:val="20"/>
        </w:rPr>
        <w:br/>
        <w:t>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</w:t>
      </w:r>
      <w:r w:rsidR="00CD7B30">
        <w:rPr>
          <w:rFonts w:ascii="Arial" w:hAnsi="Arial" w:cs="Arial"/>
          <w:sz w:val="20"/>
          <w:szCs w:val="20"/>
        </w:rPr>
        <w:br/>
        <w:t>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16C0D84" w14:textId="77777777" w:rsidR="00D6647A" w:rsidRPr="009939B3" w:rsidRDefault="00D6647A" w:rsidP="00D664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F6A15" w14:textId="77777777" w:rsidR="00D6647A" w:rsidRPr="00D6647A" w:rsidRDefault="00D6647A" w:rsidP="00D6647A">
      <w:pPr>
        <w:pStyle w:val="Tekstpodstawowy2"/>
        <w:spacing w:line="240" w:lineRule="auto"/>
        <w:rPr>
          <w:rFonts w:ascii="Arial" w:hAnsi="Arial" w:cs="Arial"/>
        </w:rPr>
      </w:pPr>
    </w:p>
    <w:p w14:paraId="35E1B314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84B180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37E38B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 xml:space="preserve">żądania dokonania poprawek lub zmian Programu bądź żądania dostarczenia nowej wersji </w:t>
      </w:r>
      <w:r w:rsidRPr="00400210">
        <w:rPr>
          <w:rFonts w:ascii="Arial" w:hAnsi="Arial" w:cs="Arial"/>
          <w:sz w:val="20"/>
          <w:szCs w:val="20"/>
        </w:rPr>
        <w:lastRenderedPageBreak/>
        <w:t>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lastRenderedPageBreak/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6BDBF7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>gramu” o którym mowa w ust. 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1A73" w14:textId="77777777" w:rsidR="007D5224" w:rsidRDefault="007D5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21C99BC6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531976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431" w14:textId="77777777" w:rsidR="007D5224" w:rsidRDefault="007D5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0524" w14:textId="77777777" w:rsidR="007D5224" w:rsidRDefault="007D5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548E" w14:textId="698DAA59" w:rsidR="007D5224" w:rsidRPr="007D5224" w:rsidRDefault="007D5224">
    <w:pPr>
      <w:pStyle w:val="Nagwek"/>
      <w:rPr>
        <w:rFonts w:ascii="Arial" w:hAnsi="Arial" w:cs="Arial"/>
        <w:b/>
        <w:sz w:val="18"/>
        <w:szCs w:val="18"/>
      </w:rPr>
    </w:pPr>
    <w:r w:rsidRPr="007D5224">
      <w:rPr>
        <w:rFonts w:ascii="Arial" w:hAnsi="Arial" w:cs="Arial"/>
        <w:b/>
        <w:sz w:val="18"/>
        <w:szCs w:val="18"/>
      </w:rPr>
      <w:t xml:space="preserve">Załącznik </w:t>
    </w:r>
    <w:r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>1</w:t>
    </w:r>
    <w:r w:rsidR="00531976">
      <w:rPr>
        <w:rFonts w:ascii="Arial" w:hAnsi="Arial" w:cs="Arial"/>
        <w:b/>
        <w:sz w:val="18"/>
        <w:szCs w:val="18"/>
      </w:rPr>
      <w:t>4</w:t>
    </w: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– Umowa przenosząca</w:t>
    </w:r>
    <w:r w:rsidRPr="007D5224">
      <w:rPr>
        <w:rFonts w:ascii="Arial" w:hAnsi="Arial" w:cs="Arial"/>
        <w:b/>
        <w:sz w:val="18"/>
        <w:szCs w:val="18"/>
      </w:rPr>
      <w:t xml:space="preserve"> 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7D5224">
      <w:rPr>
        <w:rFonts w:ascii="Arial" w:hAnsi="Arial" w:cs="Arial"/>
        <w:b/>
        <w:sz w:val="18"/>
        <w:szCs w:val="18"/>
      </w:rPr>
      <w:t xml:space="preserve"> do progra</w:t>
    </w:r>
    <w:r>
      <w:rPr>
        <w:rFonts w:ascii="Arial" w:hAnsi="Arial" w:cs="Arial"/>
        <w:b/>
        <w:sz w:val="18"/>
        <w:szCs w:val="18"/>
      </w:rPr>
      <w:t>mu komputerowego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5FA8" w14:textId="77777777" w:rsidR="007D5224" w:rsidRDefault="007D5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E7768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1976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5224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2C63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93FA-C066-4D16-95CD-4319151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2221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12</cp:revision>
  <cp:lastPrinted>2018-05-30T12:35:00Z</cp:lastPrinted>
  <dcterms:created xsi:type="dcterms:W3CDTF">2017-11-14T12:17:00Z</dcterms:created>
  <dcterms:modified xsi:type="dcterms:W3CDTF">2019-05-13T05:19:00Z</dcterms:modified>
</cp:coreProperties>
</file>