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75pt" o:ole="">
                  <v:imagedata r:id="rId17" o:title=""/>
                </v:shape>
                <o:OLEObject Type="Embed" ProgID="PBrush" ShapeID="_x0000_i1025" DrawAspect="Content" ObjectID="_1586604959"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lastRenderedPageBreak/>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lastRenderedPageBreak/>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E37AC6" w:rsidRPr="00E37AC6" w:rsidRDefault="00E37AC6" w:rsidP="00E37AC6">
      <w:pPr>
        <w:spacing w:after="60" w:line="276" w:lineRule="auto"/>
        <w:jc w:val="both"/>
        <w:rPr>
          <w:rFonts w:ascii="Arial Narrow" w:hAnsi="Arial Narrow" w:cs="Arial"/>
          <w:sz w:val="20"/>
          <w:szCs w:val="20"/>
        </w:rPr>
      </w:pP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w:t>
      </w:r>
      <w:r w:rsidRPr="00FF64EE">
        <w:rPr>
          <w:rFonts w:ascii="Arial Narrow" w:hAnsi="Arial Narrow" w:cs="Arial"/>
          <w:sz w:val="20"/>
          <w:szCs w:val="20"/>
        </w:rPr>
        <w:lastRenderedPageBreak/>
        <w:t>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41180F">
        <w:rPr>
          <w:rFonts w:ascii="Arial Narrow" w:hAnsi="Arial Narrow" w:cs="Arial"/>
          <w:sz w:val="20"/>
          <w:szCs w:val="20"/>
        </w:rPr>
        <w:t>III Transport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wpisać</w:t>
      </w:r>
      <w:r w:rsidR="00673598">
        <w:rPr>
          <w:rFonts w:ascii="Arial Narrow" w:hAnsi="Arial Narrow" w:cs="Arial"/>
          <w:sz w:val="20"/>
          <w:szCs w:val="20"/>
        </w:rPr>
        <w:t xml:space="preserve"> </w:t>
      </w:r>
      <w:r w:rsidR="00AA138F" w:rsidRPr="001D76E3">
        <w:rPr>
          <w:rFonts w:ascii="Arial Narrow" w:hAnsi="Arial Narrow" w:cs="Arial"/>
          <w:sz w:val="20"/>
          <w:szCs w:val="20"/>
        </w:rPr>
        <w:t>„</w:t>
      </w:r>
      <w:r w:rsidR="0041180F">
        <w:rPr>
          <w:rFonts w:ascii="Arial Narrow" w:hAnsi="Arial Narrow" w:cs="Arial"/>
          <w:sz w:val="20"/>
          <w:szCs w:val="20"/>
        </w:rPr>
        <w:t>III.2 Drogi</w:t>
      </w:r>
      <w:r w:rsidR="00AA138F" w:rsidRPr="001D76E3">
        <w:rPr>
          <w:rFonts w:ascii="Arial Narrow" w:hAnsi="Arial Narrow" w:cs="Arial"/>
          <w:sz w:val="20"/>
          <w:szCs w:val="20"/>
        </w:rPr>
        <w:t xml:space="preserve">” </w:t>
      </w:r>
    </w:p>
    <w:p w:rsidR="005A0F26" w:rsidRPr="005852E3" w:rsidRDefault="00197F39" w:rsidP="001D76E3">
      <w:pPr>
        <w:spacing w:before="120"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5A0F26" w:rsidRPr="001D76E3" w:rsidRDefault="0041180F" w:rsidP="001D76E3">
      <w:pPr>
        <w:spacing w:line="276" w:lineRule="auto"/>
        <w:jc w:val="both"/>
        <w:rPr>
          <w:rFonts w:ascii="Arial Narrow" w:hAnsi="Arial Narrow" w:cs="Arial"/>
          <w:b/>
          <w:sz w:val="20"/>
          <w:szCs w:val="20"/>
          <w:u w:val="single"/>
        </w:rPr>
      </w:pPr>
      <w:r>
        <w:rPr>
          <w:rFonts w:ascii="Arial Narrow" w:hAnsi="Arial Narrow" w:cs="Arial"/>
          <w:sz w:val="20"/>
          <w:szCs w:val="20"/>
        </w:rPr>
        <w:t>Należy wpisać „III.2.2 Drogi lokalne”</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00CB4C7A">
        <w:rPr>
          <w:rFonts w:ascii="Arial Narrow" w:hAnsi="Arial Narrow" w:cs="Arial"/>
          <w:bCs/>
          <w:sz w:val="20"/>
          <w:szCs w:val="20"/>
          <w:lang w:eastAsia="en-US"/>
        </w:rPr>
        <w:t xml:space="preserve"> III</w:t>
      </w:r>
      <w:r w:rsidRPr="00245147">
        <w:rPr>
          <w:rFonts w:ascii="Arial Narrow" w:hAnsi="Arial Narrow" w:cs="Arial"/>
          <w:bCs/>
          <w:sz w:val="20"/>
          <w:szCs w:val="20"/>
          <w:lang w:eastAsia="en-US"/>
        </w:rPr>
        <w:t>.</w:t>
      </w:r>
      <w:r w:rsidR="00B474AF" w:rsidRPr="00245147">
        <w:rPr>
          <w:rFonts w:ascii="Arial Narrow" w:hAnsi="Arial Narrow" w:cs="Arial"/>
          <w:bCs/>
          <w:sz w:val="20"/>
          <w:szCs w:val="20"/>
          <w:lang w:eastAsia="en-US"/>
        </w:rPr>
        <w:t>2.</w:t>
      </w:r>
      <w:r w:rsidRPr="00245147">
        <w:rPr>
          <w:rFonts w:ascii="Arial Narrow" w:hAnsi="Arial Narrow" w:cs="Arial"/>
          <w:bCs/>
          <w:sz w:val="20"/>
          <w:szCs w:val="20"/>
          <w:lang w:eastAsia="en-US"/>
        </w:rPr>
        <w:t xml:space="preserve"> są możliwe do wyboru następujące kody:</w:t>
      </w:r>
    </w:p>
    <w:p w:rsidR="00201B29" w:rsidRDefault="00201B29" w:rsidP="00201B29">
      <w:pPr>
        <w:spacing w:line="276" w:lineRule="auto"/>
        <w:jc w:val="both"/>
        <w:rPr>
          <w:rFonts w:ascii="Arial Narrow" w:hAnsi="Arial Narrow"/>
          <w:sz w:val="20"/>
          <w:szCs w:val="20"/>
        </w:rPr>
      </w:pPr>
      <w:r>
        <w:rPr>
          <w:rFonts w:ascii="Arial Narrow" w:hAnsi="Arial Narrow"/>
          <w:sz w:val="20"/>
          <w:szCs w:val="20"/>
        </w:rPr>
        <w:t>030 - Drugorzędne połączenia drogowe z siecią drogową i węzłami TEN-T (nowo budo</w:t>
      </w:r>
      <w:r w:rsidRPr="00201B29">
        <w:rPr>
          <w:rFonts w:ascii="Arial Narrow" w:hAnsi="Arial Narrow"/>
          <w:sz w:val="20"/>
          <w:szCs w:val="20"/>
        </w:rPr>
        <w:t>wane)</w:t>
      </w:r>
      <w:r>
        <w:rPr>
          <w:rFonts w:ascii="Arial Narrow" w:hAnsi="Arial Narrow"/>
          <w:sz w:val="20"/>
          <w:szCs w:val="20"/>
        </w:rPr>
        <w:t>,</w:t>
      </w:r>
    </w:p>
    <w:p w:rsidR="006259D9" w:rsidRDefault="006259D9" w:rsidP="00201B29">
      <w:pPr>
        <w:spacing w:line="276" w:lineRule="auto"/>
        <w:jc w:val="both"/>
        <w:rPr>
          <w:rFonts w:ascii="Arial Narrow" w:hAnsi="Arial Narrow"/>
          <w:sz w:val="20"/>
          <w:szCs w:val="20"/>
        </w:rPr>
      </w:pPr>
      <w:r w:rsidRPr="006259D9">
        <w:rPr>
          <w:rFonts w:ascii="Arial Narrow" w:hAnsi="Arial Narrow"/>
          <w:sz w:val="20"/>
          <w:szCs w:val="20"/>
        </w:rPr>
        <w:t>031 Pozostałe drogi krajowe i regionalne (nowo budowane)</w:t>
      </w:r>
      <w:r>
        <w:rPr>
          <w:rFonts w:ascii="Arial Narrow" w:hAnsi="Arial Narrow"/>
          <w:sz w:val="20"/>
          <w:szCs w:val="20"/>
        </w:rPr>
        <w:t>,</w:t>
      </w:r>
    </w:p>
    <w:p w:rsidR="00201B29" w:rsidRDefault="00201B29" w:rsidP="00201B29">
      <w:pPr>
        <w:spacing w:line="276" w:lineRule="auto"/>
        <w:jc w:val="both"/>
        <w:rPr>
          <w:rFonts w:ascii="Arial Narrow" w:hAnsi="Arial Narrow"/>
          <w:sz w:val="20"/>
          <w:szCs w:val="20"/>
        </w:rPr>
      </w:pPr>
      <w:r w:rsidRPr="00201B29">
        <w:rPr>
          <w:rFonts w:ascii="Arial Narrow" w:hAnsi="Arial Narrow"/>
          <w:sz w:val="20"/>
          <w:szCs w:val="20"/>
        </w:rPr>
        <w:t>032</w:t>
      </w:r>
      <w:r>
        <w:rPr>
          <w:rFonts w:ascii="Arial Narrow" w:hAnsi="Arial Narrow"/>
          <w:sz w:val="20"/>
          <w:szCs w:val="20"/>
        </w:rPr>
        <w:t xml:space="preserve"> -</w:t>
      </w:r>
      <w:r w:rsidRPr="00201B29">
        <w:rPr>
          <w:rFonts w:ascii="Arial Narrow" w:hAnsi="Arial Narrow"/>
          <w:sz w:val="20"/>
          <w:szCs w:val="20"/>
        </w:rPr>
        <w:t xml:space="preserve"> Lokalne drogi dojazdowe (nowo budowane)</w:t>
      </w:r>
      <w:r>
        <w:rPr>
          <w:rFonts w:ascii="Arial Narrow" w:hAnsi="Arial Narrow"/>
          <w:sz w:val="20"/>
          <w:szCs w:val="20"/>
        </w:rPr>
        <w:t>,</w:t>
      </w:r>
    </w:p>
    <w:p w:rsidR="00201B29" w:rsidRDefault="00201B29" w:rsidP="00201B29">
      <w:pPr>
        <w:spacing w:line="276" w:lineRule="auto"/>
        <w:jc w:val="both"/>
        <w:rPr>
          <w:rFonts w:ascii="Arial Narrow" w:hAnsi="Arial Narrow"/>
          <w:sz w:val="20"/>
          <w:szCs w:val="20"/>
        </w:rPr>
      </w:pPr>
      <w:r>
        <w:rPr>
          <w:rFonts w:ascii="Arial Narrow" w:hAnsi="Arial Narrow"/>
          <w:sz w:val="20"/>
          <w:szCs w:val="20"/>
        </w:rPr>
        <w:t>034 - Inne drogi przebudowane lub zmodernizowane</w:t>
      </w:r>
      <w:r w:rsidRPr="00201B29">
        <w:rPr>
          <w:rFonts w:ascii="Arial Narrow" w:hAnsi="Arial Narrow"/>
          <w:sz w:val="20"/>
          <w:szCs w:val="20"/>
        </w:rPr>
        <w:t xml:space="preserve"> (auto</w:t>
      </w:r>
      <w:r>
        <w:rPr>
          <w:rFonts w:ascii="Arial Narrow" w:hAnsi="Arial Narrow"/>
          <w:sz w:val="20"/>
          <w:szCs w:val="20"/>
        </w:rPr>
        <w:t xml:space="preserve">strady, drogi krajowe, regionalne lub </w:t>
      </w:r>
      <w:r w:rsidRPr="00201B29">
        <w:rPr>
          <w:rFonts w:ascii="Arial Narrow" w:hAnsi="Arial Narrow"/>
          <w:sz w:val="20"/>
          <w:szCs w:val="20"/>
        </w:rPr>
        <w:t>lokalne)</w:t>
      </w:r>
      <w:r>
        <w:rPr>
          <w:rFonts w:ascii="Arial Narrow" w:hAnsi="Arial Narrow"/>
          <w:sz w:val="20"/>
          <w:szCs w:val="20"/>
        </w:rPr>
        <w:t>,</w:t>
      </w:r>
    </w:p>
    <w:p w:rsidR="00201B29" w:rsidRDefault="00201B29" w:rsidP="00201B29">
      <w:pPr>
        <w:spacing w:line="276" w:lineRule="auto"/>
        <w:jc w:val="both"/>
        <w:rPr>
          <w:rFonts w:ascii="Arial Narrow" w:hAnsi="Arial Narrow"/>
          <w:sz w:val="20"/>
          <w:szCs w:val="20"/>
        </w:rPr>
      </w:pPr>
      <w:r>
        <w:rPr>
          <w:rFonts w:ascii="Arial Narrow" w:hAnsi="Arial Narrow"/>
          <w:sz w:val="20"/>
          <w:szCs w:val="20"/>
        </w:rPr>
        <w:t>044 - Inteligentne systemy transportowe (w</w:t>
      </w:r>
      <w:r w:rsidRPr="00201B29">
        <w:rPr>
          <w:rFonts w:ascii="Arial Narrow" w:hAnsi="Arial Narrow"/>
          <w:sz w:val="20"/>
          <w:szCs w:val="20"/>
        </w:rPr>
        <w:t xml:space="preserve"> tym </w:t>
      </w:r>
      <w:r>
        <w:rPr>
          <w:rFonts w:ascii="Arial Narrow" w:hAnsi="Arial Narrow"/>
          <w:sz w:val="20"/>
          <w:szCs w:val="20"/>
        </w:rPr>
        <w:t>wprowadzenie zarządzania popytem, systemy poboru opłat, informatyczne systemy</w:t>
      </w:r>
      <w:r w:rsidRPr="00201B29">
        <w:rPr>
          <w:rFonts w:ascii="Arial Narrow" w:hAnsi="Arial Narrow"/>
          <w:sz w:val="20"/>
          <w:szCs w:val="20"/>
        </w:rPr>
        <w:t xml:space="preserve"> monit</w:t>
      </w:r>
      <w:r>
        <w:rPr>
          <w:rFonts w:ascii="Arial Narrow" w:hAnsi="Arial Narrow"/>
          <w:sz w:val="20"/>
          <w:szCs w:val="20"/>
        </w:rPr>
        <w:t>orowania, kontroli i informa</w:t>
      </w:r>
      <w:r w:rsidRPr="00201B29">
        <w:rPr>
          <w:rFonts w:ascii="Arial Narrow" w:hAnsi="Arial Narrow"/>
          <w:sz w:val="20"/>
          <w:szCs w:val="20"/>
        </w:rPr>
        <w:t>cji)</w:t>
      </w:r>
    </w:p>
    <w:p w:rsidR="00245147" w:rsidRDefault="006A7EAC" w:rsidP="006A7EAC">
      <w:pPr>
        <w:spacing w:line="276" w:lineRule="auto"/>
        <w:jc w:val="both"/>
        <w:rPr>
          <w:rFonts w:ascii="Arial Narrow" w:hAnsi="Arial Narrow"/>
          <w:sz w:val="20"/>
          <w:szCs w:val="20"/>
        </w:rPr>
      </w:pPr>
      <w:r>
        <w:rPr>
          <w:rFonts w:ascii="Arial Narrow" w:hAnsi="Arial Narrow"/>
          <w:sz w:val="20"/>
          <w:szCs w:val="20"/>
        </w:rPr>
        <w:t xml:space="preserve">101 Finansowanie krzyżowe w </w:t>
      </w:r>
      <w:r w:rsidRPr="006A7EAC">
        <w:rPr>
          <w:rFonts w:ascii="Arial Narrow" w:hAnsi="Arial Narrow"/>
          <w:sz w:val="20"/>
          <w:szCs w:val="20"/>
        </w:rPr>
        <w:t>ramach</w:t>
      </w:r>
      <w:r>
        <w:rPr>
          <w:rFonts w:ascii="Arial Narrow" w:hAnsi="Arial Narrow"/>
          <w:sz w:val="20"/>
          <w:szCs w:val="20"/>
        </w:rPr>
        <w:t xml:space="preserve"> EFRR (wsparcie dla przedsięwzięć typowych </w:t>
      </w:r>
      <w:r w:rsidRPr="006A7EAC">
        <w:rPr>
          <w:rFonts w:ascii="Arial Narrow" w:hAnsi="Arial Narrow"/>
          <w:sz w:val="20"/>
          <w:szCs w:val="20"/>
        </w:rPr>
        <w:t>dl</w:t>
      </w:r>
      <w:r>
        <w:rPr>
          <w:rFonts w:ascii="Arial Narrow" w:hAnsi="Arial Narrow"/>
          <w:sz w:val="20"/>
          <w:szCs w:val="20"/>
        </w:rPr>
        <w:t>a EFS, koniecznych dla zadowalającego wdrożenia części przedsięwzięć związanej bezpośrednio z</w:t>
      </w:r>
      <w:r w:rsidRPr="006A7EAC">
        <w:rPr>
          <w:rFonts w:ascii="Arial Narrow" w:hAnsi="Arial Narrow"/>
          <w:sz w:val="20"/>
          <w:szCs w:val="20"/>
        </w:rPr>
        <w:t xml:space="preserve"> EFRR)</w:t>
      </w:r>
    </w:p>
    <w:p w:rsidR="006A7EAC" w:rsidRPr="006A7EAC" w:rsidRDefault="006A7EAC" w:rsidP="006A7EAC">
      <w:pPr>
        <w:spacing w:line="276" w:lineRule="auto"/>
        <w:jc w:val="both"/>
        <w:rPr>
          <w:rFonts w:ascii="Arial Narrow" w:hAnsi="Arial Narrow"/>
          <w:sz w:val="20"/>
          <w:szCs w:val="20"/>
        </w:rPr>
      </w:pPr>
    </w:p>
    <w:p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rsidR="00EF2B5E" w:rsidRPr="00245147" w:rsidRDefault="00EF2B5E" w:rsidP="001D76E3">
      <w:pPr>
        <w:tabs>
          <w:tab w:val="left" w:pos="360"/>
        </w:tabs>
        <w:spacing w:line="276" w:lineRule="auto"/>
        <w:jc w:val="both"/>
        <w:rPr>
          <w:rFonts w:ascii="Arial Narrow" w:hAnsi="Arial Narrow" w:cs="Arial"/>
          <w:b/>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rsidR="00EF2B5E" w:rsidRDefault="00EF2B5E" w:rsidP="001D76E3">
      <w:pPr>
        <w:spacing w:line="276" w:lineRule="auto"/>
        <w:jc w:val="both"/>
        <w:rPr>
          <w:rFonts w:ascii="Arial Narrow" w:hAnsi="Arial Narrow" w:cs="Arial"/>
          <w:sz w:val="20"/>
          <w:szCs w:val="20"/>
        </w:rPr>
      </w:pPr>
    </w:p>
    <w:p w:rsidR="00245147" w:rsidRPr="001D76E3" w:rsidRDefault="00245147"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2D0A6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E40266" w:rsidRPr="00E40266" w:rsidRDefault="00E40266" w:rsidP="00E40266">
      <w:pPr>
        <w:spacing w:after="120"/>
        <w:rPr>
          <w:rFonts w:ascii="Arial Narrow" w:hAnsi="Arial Narrow"/>
          <w:b/>
          <w:smallCaps/>
          <w:sz w:val="20"/>
          <w:szCs w:val="20"/>
        </w:rPr>
      </w:pPr>
      <w:r w:rsidRPr="00E40266">
        <w:rPr>
          <w:rFonts w:ascii="Arial Narrow" w:hAnsi="Arial Narrow" w:cs="Tahoma"/>
          <w:sz w:val="20"/>
          <w:szCs w:val="20"/>
        </w:rPr>
        <w:t xml:space="preserve">Wnioskodawca określa możliwość odzyskania VAT poprzez postawienie znaku </w:t>
      </w:r>
      <w:r w:rsidRPr="00E40266">
        <w:rPr>
          <w:rFonts w:ascii="Arial Narrow" w:hAnsi="Arial Narrow"/>
          <w:sz w:val="20"/>
          <w:szCs w:val="20"/>
        </w:rPr>
        <w:t xml:space="preserve">„x” w odpowiedniej rubryce (TAK / NIE / CZĘŚCIOWO). Odpowiedz „TAK ”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D80034" w:rsidRDefault="00E40266" w:rsidP="005C4DF5">
      <w:pPr>
        <w:autoSpaceDE w:val="0"/>
        <w:autoSpaceDN w:val="0"/>
        <w:adjustRightInd w:val="0"/>
        <w:rPr>
          <w:rFonts w:ascii="Arial Narrow" w:hAnsi="Arial Narrow"/>
          <w:b/>
          <w:sz w:val="20"/>
          <w:szCs w:val="20"/>
          <w:u w:val="single"/>
        </w:rPr>
      </w:pPr>
      <w:r w:rsidRPr="00E40266">
        <w:rPr>
          <w:rFonts w:ascii="Arial Narrow" w:hAnsi="Arial Narrow"/>
          <w:sz w:val="20"/>
          <w:szCs w:val="20"/>
        </w:rPr>
        <w:t>Należy wskazać uzasadnienie wybranej opcji.</w:t>
      </w:r>
    </w:p>
    <w:p w:rsidR="00E40266" w:rsidRDefault="00E40266" w:rsidP="005C4DF5">
      <w:pPr>
        <w:autoSpaceDE w:val="0"/>
        <w:autoSpaceDN w:val="0"/>
        <w:adjustRightInd w:val="0"/>
        <w:rPr>
          <w:rFonts w:ascii="Arial Narrow" w:hAnsi="Arial Narrow"/>
          <w:b/>
          <w:sz w:val="20"/>
          <w:szCs w:val="20"/>
          <w:u w:val="single"/>
        </w:rPr>
      </w:pPr>
    </w:p>
    <w:p w:rsidR="00E40266" w:rsidRDefault="00E40266" w:rsidP="005C4DF5">
      <w:pPr>
        <w:autoSpaceDE w:val="0"/>
        <w:autoSpaceDN w:val="0"/>
        <w:adjustRightInd w:val="0"/>
        <w:rPr>
          <w:rFonts w:ascii="Arial Narrow" w:hAnsi="Arial Narrow"/>
          <w:b/>
          <w:sz w:val="20"/>
          <w:szCs w:val="20"/>
          <w:u w:val="single"/>
        </w:rPr>
      </w:pPr>
    </w:p>
    <w:p w:rsidR="00E40266" w:rsidRPr="00E40266" w:rsidRDefault="00E40266" w:rsidP="005C4DF5">
      <w:pPr>
        <w:autoSpaceDE w:val="0"/>
        <w:autoSpaceDN w:val="0"/>
        <w:adjustRightInd w:val="0"/>
        <w:rPr>
          <w:rFonts w:ascii="Arial Narrow" w:hAnsi="Arial Narrow"/>
          <w:b/>
          <w:sz w:val="20"/>
          <w:szCs w:val="20"/>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5C4DF5" w:rsidRDefault="00597543" w:rsidP="001D76E3">
      <w:pPr>
        <w:spacing w:line="276" w:lineRule="auto"/>
        <w:jc w:val="both"/>
        <w:rPr>
          <w:rFonts w:ascii="Arial Narrow" w:hAnsi="Arial Narrow" w:cs="Arial"/>
          <w:sz w:val="20"/>
          <w:szCs w:val="20"/>
        </w:rPr>
      </w:pPr>
      <w:r w:rsidRPr="00597543">
        <w:rPr>
          <w:rFonts w:ascii="Arial Narrow" w:hAnsi="Arial Narrow" w:cs="Arial"/>
          <w:sz w:val="20"/>
          <w:szCs w:val="20"/>
        </w:rPr>
        <w:t>Jeżeli partnerzy starają się o możliwość odzyskania VAT należy określić to poprzez postawienie znaku „x” w odpowiedniej rubryce (TAK / NIE / CZĘŚCIOWO) oraz podać uzasadnienie dla kwalifikowalności VAT.</w:t>
      </w:r>
    </w:p>
    <w:p w:rsidR="00597543" w:rsidRPr="001D76E3" w:rsidRDefault="00597543"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5C4DF5" w:rsidRDefault="00597543" w:rsidP="001D76E3">
      <w:pPr>
        <w:spacing w:line="276" w:lineRule="auto"/>
        <w:jc w:val="both"/>
        <w:rPr>
          <w:rFonts w:ascii="Arial Narrow" w:hAnsi="Arial Narrow" w:cs="Arial"/>
          <w:sz w:val="20"/>
          <w:szCs w:val="20"/>
        </w:rPr>
      </w:pPr>
      <w:r w:rsidRPr="00597543">
        <w:rPr>
          <w:rFonts w:ascii="Arial Narrow" w:hAnsi="Arial Narrow" w:cs="Arial"/>
          <w:sz w:val="20"/>
          <w:szCs w:val="20"/>
        </w:rPr>
        <w:t>Jeżeli partnerzy starają się o możliwość odzyskania VAT należy określić to poprzez postawienie znaku „x” w odpowiedniej rubryce (TAK / NIE / CZĘŚCIOWO) oraz podać uzasadnienie dla kwalifikowalności VAT.</w:t>
      </w:r>
    </w:p>
    <w:p w:rsidR="00597543" w:rsidRPr="001D76E3" w:rsidRDefault="00597543"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D937AD">
        <w:rPr>
          <w:rFonts w:ascii="Arial Narrow" w:hAnsi="Arial Narrow" w:cs="Arial"/>
          <w:b w:val="0"/>
          <w:color w:val="auto"/>
          <w:sz w:val="20"/>
          <w:szCs w:val="20"/>
        </w:rPr>
        <w:t>Poddziałania III</w:t>
      </w:r>
      <w:r w:rsidR="00A260D1">
        <w:rPr>
          <w:rFonts w:ascii="Arial Narrow" w:hAnsi="Arial Narrow" w:cs="Arial"/>
          <w:b w:val="0"/>
          <w:color w:val="auto"/>
          <w:sz w:val="20"/>
          <w:szCs w:val="20"/>
        </w:rPr>
        <w:t>.2</w:t>
      </w:r>
      <w:r w:rsidR="00D937AD">
        <w:rPr>
          <w:rFonts w:ascii="Arial Narrow" w:hAnsi="Arial Narrow" w:cs="Arial"/>
          <w:b w:val="0"/>
          <w:color w:val="auto"/>
          <w:sz w:val="20"/>
          <w:szCs w:val="20"/>
        </w:rPr>
        <w:t>.2</w:t>
      </w:r>
      <w:r w:rsidR="00A260D1">
        <w:rPr>
          <w:rFonts w:ascii="Arial Narrow" w:hAnsi="Arial Narrow" w:cs="Arial"/>
          <w:b w:val="0"/>
          <w:color w:val="auto"/>
          <w:sz w:val="20"/>
          <w:szCs w:val="20"/>
        </w:rPr>
        <w:t xml:space="preserve"> </w:t>
      </w:r>
      <w:r w:rsidR="00D937AD">
        <w:rPr>
          <w:rFonts w:ascii="Arial Narrow" w:hAnsi="Arial Narrow" w:cs="Arial"/>
          <w:b w:val="0"/>
          <w:color w:val="auto"/>
          <w:sz w:val="20"/>
          <w:szCs w:val="20"/>
        </w:rPr>
        <w:t xml:space="preserve">Drogi lokalne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AA5041" w:rsidRDefault="00AA5041" w:rsidP="00AA5041">
      <w:pPr>
        <w:spacing w:line="276" w:lineRule="auto"/>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AA5041" w:rsidRDefault="00AA5041" w:rsidP="00AA5041">
      <w:pPr>
        <w:spacing w:line="276" w:lineRule="auto"/>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w:t>
      </w:r>
      <w:r w:rsidRPr="00AA5041">
        <w:rPr>
          <w:rFonts w:ascii="Arial Narrow" w:hAnsi="Arial Narrow"/>
          <w:sz w:val="20"/>
          <w:szCs w:val="20"/>
        </w:rPr>
        <w:t xml:space="preserve"> </w:t>
      </w:r>
      <w:r>
        <w:rPr>
          <w:rFonts w:ascii="Arial Narrow" w:hAnsi="Arial Narrow"/>
          <w:sz w:val="20"/>
          <w:szCs w:val="20"/>
        </w:rPr>
        <w:t>neutralny lub negatywny charakter projektu pod względem równych szans kobiet i mężczyzn.</w:t>
      </w:r>
      <w:r w:rsidRPr="00AA5041">
        <w:rPr>
          <w:rFonts w:ascii="Arial Narrow" w:hAnsi="Arial Narrow"/>
          <w:sz w:val="20"/>
          <w:szCs w:val="20"/>
        </w:rPr>
        <w:t xml:space="preserve"> </w:t>
      </w:r>
      <w:r>
        <w:rPr>
          <w:rFonts w:ascii="Arial Narrow" w:hAnsi="Arial Narrow"/>
          <w:sz w:val="20"/>
          <w:szCs w:val="20"/>
        </w:rPr>
        <w:t xml:space="preserve">Należy podać uzasadnienie swojego wyboru w przeznaczonej do tego rubryce. </w:t>
      </w:r>
    </w:p>
    <w:p w:rsidR="00AA5041" w:rsidRDefault="00AA5041" w:rsidP="00AA5041">
      <w:pPr>
        <w:spacing w:line="276" w:lineRule="auto"/>
        <w:jc w:val="both"/>
        <w:rPr>
          <w:rFonts w:ascii="Arial Narrow" w:hAnsi="Arial Narrow"/>
          <w:sz w:val="20"/>
          <w:szCs w:val="20"/>
        </w:rPr>
      </w:pPr>
      <w:r>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 Uzasadnienie to podlega ocenie.</w:t>
      </w:r>
    </w:p>
    <w:p w:rsidR="00AA5041" w:rsidRDefault="00AA5041" w:rsidP="00AA5041">
      <w:pPr>
        <w:spacing w:line="276" w:lineRule="auto"/>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00860" w:rsidRPr="00AA5041" w:rsidRDefault="00500860" w:rsidP="00AA5041">
      <w:pPr>
        <w:spacing w:line="276" w:lineRule="auto"/>
        <w:jc w:val="both"/>
        <w:rPr>
          <w:rFonts w:ascii="Arial Narrow" w:hAnsi="Arial Narrow"/>
          <w:sz w:val="20"/>
          <w:szCs w:val="20"/>
        </w:rPr>
      </w:pP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500860">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AA5041">
        <w:rPr>
          <w:rFonts w:ascii="Arial Narrow" w:hAnsi="Arial Narrow"/>
          <w:sz w:val="20"/>
          <w:szCs w:val="20"/>
        </w:rPr>
        <w:t xml:space="preserve">poprzez wstawienie znaku „X” w odpowiedniej rubryce, </w:t>
      </w:r>
      <w:r w:rsidRPr="001D76E3">
        <w:rPr>
          <w:rFonts w:ascii="Arial Narrow" w:hAnsi="Arial Narrow" w:cs="Arial"/>
          <w:sz w:val="20"/>
          <w:szCs w:val="20"/>
        </w:rPr>
        <w:t xml:space="preserve">określa charakter projektu w odniesieniu do zgodności projektu z polityką równości szans i niedyskryminacji w tym dostępności dla osób z niepełnosprawnościami, uwzględniając zapisy podrozdziału 5.2 ww. Wytycznych. Wnioskodawca </w:t>
      </w:r>
      <w:r w:rsidR="00AA5041">
        <w:rPr>
          <w:rFonts w:ascii="Arial Narrow" w:hAnsi="Arial Narrow"/>
          <w:sz w:val="20"/>
          <w:szCs w:val="20"/>
        </w:rPr>
        <w:t xml:space="preserve">ma do wyboru </w:t>
      </w:r>
      <w:r w:rsidR="00AA5041">
        <w:rPr>
          <w:rFonts w:ascii="Arial Narrow" w:hAnsi="Arial Narrow" w:cs="Arial"/>
          <w:sz w:val="20"/>
          <w:szCs w:val="20"/>
        </w:rPr>
        <w:t xml:space="preserve">pozytywny, </w:t>
      </w:r>
      <w:r w:rsidRPr="001D76E3">
        <w:rPr>
          <w:rFonts w:ascii="Arial Narrow" w:hAnsi="Arial Narrow" w:cs="Arial"/>
          <w:sz w:val="20"/>
          <w:szCs w:val="20"/>
        </w:rPr>
        <w:t>neutralny</w:t>
      </w:r>
      <w:r w:rsidR="00AA5041">
        <w:rPr>
          <w:rFonts w:ascii="Arial Narrow" w:hAnsi="Arial Narrow" w:cs="Arial"/>
          <w:sz w:val="20"/>
          <w:szCs w:val="20"/>
        </w:rPr>
        <w:t xml:space="preserve"> lub negatywny</w:t>
      </w:r>
      <w:r w:rsidRPr="001D76E3">
        <w:rPr>
          <w:rFonts w:ascii="Arial Narrow" w:hAnsi="Arial Narrow" w:cs="Arial"/>
          <w:sz w:val="20"/>
          <w:szCs w:val="20"/>
        </w:rPr>
        <w:t xml:space="preserve"> charakter projektu pod względem zgodności projektu z polityką równości szans i niedyskryminacji w tym dostępności d</w:t>
      </w:r>
      <w:r w:rsidR="00AA5041">
        <w:rPr>
          <w:rFonts w:ascii="Arial Narrow" w:hAnsi="Arial Narrow" w:cs="Arial"/>
          <w:sz w:val="20"/>
          <w:szCs w:val="20"/>
        </w:rPr>
        <w:t>la osób z niepełnosprawnościami.</w:t>
      </w:r>
      <w:r w:rsidRPr="001D76E3">
        <w:rPr>
          <w:rFonts w:ascii="Arial Narrow" w:hAnsi="Arial Narrow" w:cs="Arial"/>
          <w:sz w:val="20"/>
          <w:szCs w:val="20"/>
        </w:rPr>
        <w:t xml:space="preserve"> </w:t>
      </w:r>
      <w:r w:rsidR="00AA5041">
        <w:rPr>
          <w:rFonts w:ascii="Arial Narrow" w:hAnsi="Arial Narrow"/>
          <w:sz w:val="20"/>
          <w:szCs w:val="20"/>
        </w:rPr>
        <w:t>Jednakże pozytywną ocenę uzyska jedynie projekt, który wykaże</w:t>
      </w:r>
      <w:r w:rsidR="00AA5041">
        <w:rPr>
          <w:rFonts w:ascii="Arial Narrow" w:hAnsi="Arial Narrow"/>
          <w:b/>
          <w:sz w:val="20"/>
          <w:szCs w:val="20"/>
        </w:rPr>
        <w:t xml:space="preserve"> pozytywny wpływ realizacji projektu na ww. politykę</w:t>
      </w:r>
      <w:r w:rsidR="00AA5041">
        <w:rPr>
          <w:rFonts w:ascii="Arial Narrow" w:hAnsi="Arial Narrow"/>
          <w:sz w:val="20"/>
          <w:szCs w:val="20"/>
        </w:rPr>
        <w:t>.</w:t>
      </w:r>
      <w:r w:rsidRPr="001D76E3">
        <w:rPr>
          <w:rFonts w:ascii="Arial Narrow" w:hAnsi="Arial Narrow" w:cs="Arial"/>
          <w:sz w:val="20"/>
          <w:szCs w:val="20"/>
        </w:rPr>
        <w:t xml:space="preserve"> </w:t>
      </w:r>
      <w:r w:rsidR="00AA5041">
        <w:rPr>
          <w:rFonts w:ascii="Arial Narrow" w:hAnsi="Arial Narrow" w:cs="Arial"/>
          <w:sz w:val="20"/>
          <w:szCs w:val="20"/>
        </w:rPr>
        <w:t>Należy poda</w:t>
      </w:r>
      <w:r w:rsidR="00AA5041" w:rsidRPr="00AA5041">
        <w:rPr>
          <w:rFonts w:ascii="Arial Narrow" w:hAnsi="Arial Narrow" w:cs="Arial"/>
          <w:sz w:val="20"/>
          <w:szCs w:val="20"/>
        </w:rPr>
        <w:t>ć uzasadnienie swojego wyboru w przeznaczonej do tego rubryce.</w:t>
      </w:r>
    </w:p>
    <w:p w:rsidR="005537DA" w:rsidRDefault="00E2649D" w:rsidP="00500860">
      <w:pPr>
        <w:spacing w:line="276" w:lineRule="auto"/>
        <w:jc w:val="both"/>
        <w:rPr>
          <w:rFonts w:ascii="Arial Narrow" w:hAnsi="Arial Narrow"/>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w:t>
      </w:r>
      <w:r w:rsidR="00AA5041">
        <w:rPr>
          <w:rFonts w:ascii="Arial Narrow" w:hAnsi="Arial Narrow" w:cs="Arial"/>
          <w:sz w:val="20"/>
          <w:szCs w:val="20"/>
        </w:rPr>
        <w:t xml:space="preserve">nowe </w:t>
      </w:r>
      <w:r w:rsidR="005603D0" w:rsidRPr="00AA5041">
        <w:rPr>
          <w:rFonts w:ascii="Arial Narrow" w:hAnsi="Arial Narrow" w:cs="Arial"/>
          <w:b/>
          <w:sz w:val="20"/>
          <w:szCs w:val="20"/>
        </w:rPr>
        <w:t>produkty</w:t>
      </w:r>
      <w:r w:rsidR="005603D0" w:rsidRPr="005603D0">
        <w:rPr>
          <w:rFonts w:ascii="Arial Narrow" w:hAnsi="Arial Narrow" w:cs="Arial"/>
          <w:sz w:val="20"/>
          <w:szCs w:val="20"/>
        </w:rPr>
        <w:t xml:space="preserve"> projektu (</w:t>
      </w:r>
      <w:r w:rsidR="005537DA">
        <w:rPr>
          <w:rFonts w:ascii="Arial Narrow" w:hAnsi="Arial Narrow"/>
          <w:sz w:val="20"/>
          <w:szCs w:val="20"/>
        </w:rPr>
        <w:t>zasoby cyfrowe, środki transportu</w:t>
      </w:r>
      <w:r w:rsidR="005603D0" w:rsidRPr="005603D0">
        <w:rPr>
          <w:rFonts w:ascii="Arial Narrow" w:hAnsi="Arial Narrow" w:cs="Arial"/>
          <w:sz w:val="20"/>
          <w:szCs w:val="20"/>
        </w:rPr>
        <w:t>, infrastruktura) muszą być dostępne dla wszystkich osób, w tym również dostosowane do zidentyfikowanych potrze</w:t>
      </w:r>
      <w:r w:rsidR="005537DA">
        <w:rPr>
          <w:rFonts w:ascii="Arial Narrow" w:hAnsi="Arial Narrow" w:cs="Arial"/>
          <w:sz w:val="20"/>
          <w:szCs w:val="20"/>
        </w:rPr>
        <w:t xml:space="preserve">b osób z niepełnosprawnościami. </w:t>
      </w:r>
      <w:r w:rsidR="005537DA">
        <w:rPr>
          <w:rFonts w:ascii="Arial Narrow" w:hAnsi="Arial Narrow"/>
          <w:sz w:val="20"/>
          <w:szCs w:val="20"/>
        </w:rPr>
        <w:t xml:space="preserve">Jednocześnie w wyjątkowych sytuacjach, dopuszczalne jest uznanie neutralności </w:t>
      </w:r>
      <w:r w:rsidR="005537DA">
        <w:rPr>
          <w:rFonts w:ascii="Arial Narrow" w:hAnsi="Arial Narrow"/>
          <w:b/>
          <w:sz w:val="20"/>
          <w:szCs w:val="20"/>
        </w:rPr>
        <w:t>produktu</w:t>
      </w:r>
      <w:r w:rsidR="005537DA">
        <w:rPr>
          <w:rFonts w:ascii="Arial Narrow" w:hAnsi="Arial Narrow"/>
          <w:sz w:val="20"/>
          <w:szCs w:val="20"/>
        </w:rPr>
        <w:t xml:space="preserve"> projektu. O neutralności produktu </w:t>
      </w:r>
      <w:r w:rsidR="005537DA">
        <w:rPr>
          <w:rFonts w:ascii="Arial Narrow" w:hAnsi="Arial Narrow"/>
          <w:sz w:val="20"/>
          <w:szCs w:val="20"/>
        </w:rPr>
        <w:lastRenderedPageBreak/>
        <w:t>można mówić w sytuacji, kiedy Wnioskodawca wykaże, że dostępność nie dotyczy danego produktu na przykład z uwagi na brak jego bezpośrednich użytkowników. Neutralność może dotyczyć jednak konkretnego produktu, nie zaś projektu jako całości.</w:t>
      </w:r>
    </w:p>
    <w:p w:rsidR="005537DA" w:rsidRDefault="005537DA" w:rsidP="005537DA">
      <w:pPr>
        <w:jc w:val="both"/>
        <w:rPr>
          <w:rFonts w:ascii="Arial Narrow" w:hAnsi="Arial Narrow"/>
          <w:sz w:val="20"/>
          <w:szCs w:val="20"/>
        </w:rPr>
      </w:pPr>
    </w:p>
    <w:p w:rsidR="005537DA" w:rsidRDefault="005537DA" w:rsidP="00500860">
      <w:pPr>
        <w:spacing w:line="276" w:lineRule="auto"/>
        <w:jc w:val="both"/>
        <w:rPr>
          <w:rFonts w:ascii="Arial Narrow" w:hAnsi="Arial Narrow" w:cs="Arial"/>
          <w:sz w:val="20"/>
          <w:szCs w:val="20"/>
        </w:rPr>
      </w:pPr>
      <w:r>
        <w:rPr>
          <w:rFonts w:ascii="Arial Narrow" w:hAnsi="Arial Narrow"/>
          <w:sz w:val="20"/>
          <w:szCs w:val="20"/>
        </w:rPr>
        <w:t xml:space="preserve">Dostępność nowych produktów finansowanych w ramach projektu </w:t>
      </w:r>
      <w:r>
        <w:rPr>
          <w:rFonts w:ascii="Arial Narrow" w:hAnsi="Arial Narrow" w:cs="Arial"/>
          <w:sz w:val="20"/>
          <w:szCs w:val="20"/>
        </w:rPr>
        <w:t>o</w:t>
      </w:r>
      <w:r w:rsidR="005603D0" w:rsidRPr="005603D0">
        <w:rPr>
          <w:rFonts w:ascii="Arial Narrow" w:hAnsi="Arial Narrow" w:cs="Arial"/>
          <w:sz w:val="20"/>
          <w:szCs w:val="20"/>
        </w:rPr>
        <w:t>znacza</w:t>
      </w:r>
      <w:r>
        <w:rPr>
          <w:rFonts w:ascii="Arial Narrow" w:hAnsi="Arial Narrow" w:cs="Arial"/>
          <w:sz w:val="20"/>
          <w:szCs w:val="20"/>
        </w:rPr>
        <w:t>, iż</w:t>
      </w:r>
      <w:r w:rsidR="005603D0" w:rsidRPr="005603D0">
        <w:rPr>
          <w:rFonts w:ascii="Arial Narrow" w:hAnsi="Arial Narrow" w:cs="Arial"/>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Pr>
          <w:rFonts w:ascii="Arial Narrow" w:hAnsi="Arial Narrow" w:cs="Arial"/>
          <w:sz w:val="20"/>
          <w:szCs w:val="20"/>
        </w:rPr>
        <w:t xml:space="preserve"> </w:t>
      </w:r>
      <w:r w:rsidR="005603D0" w:rsidRPr="005603D0">
        <w:rPr>
          <w:rFonts w:ascii="Arial Narrow" w:hAnsi="Arial Narrow" w:cs="Arial"/>
          <w:sz w:val="20"/>
          <w:szCs w:val="20"/>
        </w:rPr>
        <w:t xml:space="preserve">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w:t>
      </w:r>
      <w:r w:rsidR="005603D0" w:rsidRPr="005537DA">
        <w:rPr>
          <w:rFonts w:ascii="Arial Narrow" w:hAnsi="Arial Narrow" w:cs="Arial"/>
          <w:b/>
          <w:sz w:val="20"/>
          <w:szCs w:val="20"/>
        </w:rPr>
        <w:t>nowo tworzonej inwestycji, z uwzględnieniem rodzajów niepełnosprawności</w:t>
      </w:r>
      <w:r>
        <w:rPr>
          <w:rFonts w:ascii="Arial Narrow" w:hAnsi="Arial Narrow" w:cs="Arial"/>
          <w:b/>
          <w:sz w:val="20"/>
          <w:szCs w:val="20"/>
        </w:rPr>
        <w:t xml:space="preserve"> użytkowników</w:t>
      </w:r>
      <w:r w:rsidR="005603D0" w:rsidRPr="005603D0">
        <w:rPr>
          <w:rFonts w:ascii="Arial Narrow" w:hAnsi="Arial Narrow" w:cs="Arial"/>
          <w:sz w:val="20"/>
          <w:szCs w:val="20"/>
        </w:rPr>
        <w:t xml:space="preserve">. </w:t>
      </w:r>
    </w:p>
    <w:p w:rsidR="005537DA" w:rsidRPr="005537DA" w:rsidRDefault="005537DA" w:rsidP="00500860">
      <w:pPr>
        <w:spacing w:line="276" w:lineRule="auto"/>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715969" w:rsidRDefault="005603D0" w:rsidP="00500860">
      <w:pPr>
        <w:spacing w:line="276" w:lineRule="auto"/>
        <w:jc w:val="both"/>
        <w:rPr>
          <w:rFonts w:ascii="Arial Narrow" w:hAnsi="Arial Narrow" w:cs="Arial"/>
          <w:sz w:val="20"/>
          <w:szCs w:val="20"/>
        </w:rPr>
      </w:pPr>
      <w:r w:rsidRPr="005603D0">
        <w:rPr>
          <w:rFonts w:ascii="Arial Narrow" w:hAnsi="Arial Narrow" w:cs="Arial"/>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537DA" w:rsidRDefault="005537DA" w:rsidP="00500860">
      <w:pPr>
        <w:spacing w:line="276" w:lineRule="auto"/>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5537DA" w:rsidRDefault="005537DA" w:rsidP="00500860">
      <w:pPr>
        <w:jc w:val="both"/>
        <w:rPr>
          <w:rFonts w:ascii="Arial Narrow" w:hAnsi="Arial Narrow"/>
          <w:sz w:val="18"/>
          <w:szCs w:val="18"/>
        </w:rPr>
      </w:pPr>
      <w:r>
        <w:rPr>
          <w:rFonts w:ascii="Arial Narrow" w:hAnsi="Arial Narrow"/>
          <w:sz w:val="18"/>
          <w:szCs w:val="18"/>
        </w:rPr>
        <w:t>* W przypadku modernizacji dostępność dotyczy co najmniej tych elementów budynku lub infrastruktury,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500860" w:rsidRPr="00500860" w:rsidRDefault="00500860" w:rsidP="00500860">
      <w:pPr>
        <w:jc w:val="both"/>
        <w:rPr>
          <w:rFonts w:ascii="Arial Narrow" w:hAnsi="Arial Narrow"/>
          <w:sz w:val="18"/>
          <w:szCs w:val="18"/>
        </w:rPr>
      </w:pP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Pr="001D76E3" w:rsidRDefault="0050086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D937AD">
        <w:rPr>
          <w:rFonts w:ascii="Arial Narrow" w:hAnsi="Arial Narrow" w:cs="Arial"/>
          <w:sz w:val="20"/>
          <w:szCs w:val="20"/>
        </w:rPr>
        <w:t>III.2.2 Drogi lokalne</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30218B">
        <w:rPr>
          <w:rFonts w:ascii="Arial Narrow" w:hAnsi="Arial Narrow" w:cs="Arial"/>
          <w:sz w:val="20"/>
          <w:szCs w:val="20"/>
        </w:rPr>
        <w:t>III.2.2 Drogi lokalne</w:t>
      </w:r>
      <w:r w:rsidR="00513450" w:rsidRPr="00513450">
        <w:rPr>
          <w:rFonts w:ascii="Arial Narrow" w:hAnsi="Arial Narrow" w:cs="Arial"/>
          <w:sz w:val="20"/>
          <w:szCs w:val="20"/>
        </w:rPr>
        <w:t xml:space="preserve"> </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00860" w:rsidRDefault="00500860" w:rsidP="001D76E3">
      <w:pPr>
        <w:spacing w:before="120" w:line="276" w:lineRule="auto"/>
        <w:jc w:val="both"/>
        <w:rPr>
          <w:rFonts w:ascii="Arial Narrow" w:hAnsi="Arial Narrow" w:cs="Arial"/>
          <w:b/>
          <w:sz w:val="20"/>
          <w:szCs w:val="20"/>
          <w:u w:val="single"/>
        </w:rPr>
      </w:pP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3F161D">
        <w:rPr>
          <w:rFonts w:ascii="Arial Narrow" w:hAnsi="Arial Narrow"/>
          <w:sz w:val="20"/>
          <w:szCs w:val="20"/>
        </w:rPr>
        <w:t>III.2</w:t>
      </w:r>
      <w:r w:rsidRPr="00756AC7">
        <w:rPr>
          <w:rFonts w:ascii="Arial Narrow" w:hAnsi="Arial Narrow"/>
          <w:sz w:val="20"/>
          <w:szCs w:val="20"/>
        </w:rPr>
        <w:t xml:space="preserve"> wartość kosztów pośrednich rozliczanych ryczałtem wynosi </w:t>
      </w:r>
      <w:r w:rsidR="003F161D">
        <w:rPr>
          <w:rFonts w:ascii="Arial Narrow" w:hAnsi="Arial Narrow"/>
          <w:sz w:val="20"/>
          <w:szCs w:val="20"/>
        </w:rPr>
        <w:t>2</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koszty pośrednie, rozliczane na podstawie rzeczywiście poniesionych wydatków, nie mogą przekroczyć łącznie 5% bezpośrednich wydatków kwalifikowalnych projektu - łącznie miesięcznie nie więcej niż 20 tys. PLN. Kwota ta jest traktowana jako </w:t>
      </w:r>
      <w:r w:rsidRPr="00AD2AB7">
        <w:rPr>
          <w:rFonts w:ascii="Arial Narrow" w:hAnsi="Arial Narrow"/>
          <w:sz w:val="20"/>
          <w:szCs w:val="20"/>
        </w:rPr>
        <w:lastRenderedPageBreak/>
        <w:t>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lastRenderedPageBreak/>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Cross-financingu</w:t>
      </w:r>
      <w:r w:rsidR="004D5869">
        <w:rPr>
          <w:rFonts w:ascii="Arial Narrow" w:hAnsi="Arial Narrow"/>
          <w:sz w:val="20"/>
          <w:szCs w:val="20"/>
        </w:rPr>
        <w:t>;</w:t>
      </w:r>
    </w:p>
    <w:p w:rsidR="004D5869" w:rsidRDefault="004D5869" w:rsidP="004D5869">
      <w:pPr>
        <w:numPr>
          <w:ilvl w:val="0"/>
          <w:numId w:val="7"/>
        </w:numPr>
        <w:contextualSpacing/>
        <w:jc w:val="both"/>
        <w:rPr>
          <w:rFonts w:ascii="Arial Narrow" w:hAnsi="Arial Narrow"/>
          <w:sz w:val="20"/>
          <w:szCs w:val="20"/>
        </w:rPr>
      </w:pPr>
      <w:r>
        <w:rPr>
          <w:rFonts w:ascii="Arial Narrow" w:hAnsi="Arial Narrow"/>
          <w:sz w:val="20"/>
          <w:szCs w:val="20"/>
        </w:rPr>
        <w:t>Przebudowy</w:t>
      </w:r>
      <w:r w:rsidRPr="004D5869">
        <w:rPr>
          <w:rFonts w:ascii="Arial Narrow" w:hAnsi="Arial Narrow"/>
          <w:sz w:val="20"/>
          <w:szCs w:val="20"/>
        </w:rPr>
        <w:t xml:space="preserve"> </w:t>
      </w:r>
      <w:r>
        <w:rPr>
          <w:rFonts w:ascii="Arial Narrow" w:hAnsi="Arial Narrow"/>
          <w:sz w:val="20"/>
          <w:szCs w:val="20"/>
        </w:rPr>
        <w:t>infrastruktury technicznej kolidującej z inwestycją w tym</w:t>
      </w:r>
      <w:r w:rsidRPr="004D5869">
        <w:rPr>
          <w:rFonts w:ascii="Arial Narrow" w:hAnsi="Arial Narrow"/>
          <w:sz w:val="20"/>
          <w:szCs w:val="20"/>
        </w:rPr>
        <w:t xml:space="preserve"> linii </w:t>
      </w:r>
      <w:r>
        <w:rPr>
          <w:rFonts w:ascii="Arial Narrow" w:hAnsi="Arial Narrow"/>
          <w:sz w:val="20"/>
          <w:szCs w:val="20"/>
        </w:rPr>
        <w:t>elektroenergetycznej, teletechnicznej, kanalizacji sanitarnej, sieci gazowej, ciepłowniczej, wodociągowej, urządzeń wodnych melioracji,</w:t>
      </w:r>
      <w:r w:rsidRPr="004D5869">
        <w:rPr>
          <w:rFonts w:ascii="Arial Narrow" w:hAnsi="Arial Narrow"/>
          <w:sz w:val="20"/>
          <w:szCs w:val="20"/>
        </w:rPr>
        <w:t xml:space="preserve"> urządzeń </w:t>
      </w:r>
      <w:r>
        <w:rPr>
          <w:rFonts w:ascii="Arial Narrow" w:hAnsi="Arial Narrow"/>
          <w:sz w:val="20"/>
          <w:szCs w:val="20"/>
        </w:rPr>
        <w:t xml:space="preserve">podziemnych </w:t>
      </w:r>
      <w:r w:rsidRPr="004D5869">
        <w:rPr>
          <w:rFonts w:ascii="Arial Narrow" w:hAnsi="Arial Narrow"/>
          <w:sz w:val="20"/>
          <w:szCs w:val="20"/>
        </w:rPr>
        <w:t>sp</w:t>
      </w:r>
      <w:r>
        <w:rPr>
          <w:rFonts w:ascii="Arial Narrow" w:hAnsi="Arial Narrow"/>
          <w:sz w:val="20"/>
          <w:szCs w:val="20"/>
        </w:rPr>
        <w:t xml:space="preserve">ecjalnego przeznaczenia </w:t>
      </w:r>
      <w:r w:rsidRPr="004D5869">
        <w:rPr>
          <w:rFonts w:ascii="Arial Narrow" w:hAnsi="Arial Narrow"/>
          <w:sz w:val="20"/>
          <w:szCs w:val="20"/>
        </w:rPr>
        <w:t>(maksymal</w:t>
      </w:r>
      <w:r>
        <w:rPr>
          <w:rFonts w:ascii="Arial Narrow" w:hAnsi="Arial Narrow"/>
          <w:sz w:val="20"/>
          <w:szCs w:val="20"/>
        </w:rPr>
        <w:t xml:space="preserve">nie do 10% </w:t>
      </w:r>
      <w:r w:rsidRPr="004D5869">
        <w:rPr>
          <w:rFonts w:ascii="Arial Narrow" w:hAnsi="Arial Narrow"/>
          <w:sz w:val="20"/>
          <w:szCs w:val="20"/>
        </w:rPr>
        <w:t>wydatków kwalifikowalnych)</w:t>
      </w:r>
      <w:r>
        <w:rPr>
          <w:rFonts w:ascii="Arial Narrow" w:hAnsi="Arial Narrow"/>
          <w:sz w:val="20"/>
          <w:szCs w:val="20"/>
        </w:rPr>
        <w:t>.</w:t>
      </w:r>
    </w:p>
    <w:p w:rsidR="004D5869" w:rsidRPr="004D5869" w:rsidRDefault="004D5869" w:rsidP="004D5869">
      <w:pPr>
        <w:ind w:left="720"/>
        <w:contextualSpacing/>
        <w:jc w:val="both"/>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B119C0" w:rsidRPr="004767A9" w:rsidRDefault="004767A9" w:rsidP="001D76E3">
      <w:pPr>
        <w:autoSpaceDE w:val="0"/>
        <w:autoSpaceDN w:val="0"/>
        <w:adjustRightInd w:val="0"/>
        <w:spacing w:line="276" w:lineRule="auto"/>
        <w:jc w:val="both"/>
        <w:rPr>
          <w:rFonts w:ascii="Arial Narrow" w:hAnsi="Arial Narrow" w:cs="Arial"/>
          <w:color w:val="000000"/>
          <w:sz w:val="20"/>
          <w:szCs w:val="20"/>
        </w:rPr>
      </w:pPr>
      <w:r w:rsidRPr="004767A9">
        <w:rPr>
          <w:rFonts w:ascii="Arial Narrow" w:hAnsi="Arial Narrow" w:cs="Arial"/>
          <w:color w:val="000000"/>
          <w:sz w:val="20"/>
          <w:szCs w:val="20"/>
        </w:rPr>
        <w:t>Nie dotyczy</w:t>
      </w:r>
      <w:r>
        <w:rPr>
          <w:rFonts w:ascii="Arial Narrow" w:hAnsi="Arial Narrow" w:cs="Arial"/>
          <w:color w:val="000000"/>
          <w:sz w:val="20"/>
          <w:szCs w:val="20"/>
        </w:rPr>
        <w:t>.</w:t>
      </w: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E75503" w:rsidRPr="001D76E3" w:rsidRDefault="00E75503" w:rsidP="001D76E3">
      <w:pPr>
        <w:spacing w:line="276" w:lineRule="auto"/>
        <w:jc w:val="both"/>
        <w:rPr>
          <w:rFonts w:ascii="Arial Narrow" w:hAnsi="Arial Narrow" w:cs="Arial"/>
          <w:sz w:val="20"/>
          <w:szCs w:val="20"/>
        </w:rPr>
      </w:pPr>
    </w:p>
    <w:p w:rsidR="00031C5E" w:rsidRPr="003116B0" w:rsidRDefault="00031C5E" w:rsidP="00031C5E">
      <w:pPr>
        <w:rPr>
          <w:rFonts w:ascii="Arial Narrow" w:hAnsi="Arial Narrow" w:cs="Arial"/>
          <w:bCs/>
          <w:i/>
          <w:color w:val="000000"/>
          <w:sz w:val="20"/>
          <w:szCs w:val="20"/>
        </w:rPr>
      </w:pPr>
      <w:r w:rsidRPr="003116B0">
        <w:rPr>
          <w:rFonts w:ascii="Arial Narrow" w:hAnsi="Arial Narrow" w:cs="Arial"/>
          <w:bCs/>
          <w:color w:val="000000"/>
          <w:sz w:val="20"/>
          <w:szCs w:val="20"/>
        </w:rPr>
        <w:t xml:space="preserve">W przypadku projektów generujących dochód Wnioskodawca oblicza go z wykorzystaniem metody luki finansowej (zgodnie z pkt. 21 SzOOP dla Działania III.2 Dorgi) w oparciu o zapisy art. 61 ust. 3 rozporządzenia ogólnego oraz rozdziału 8 </w:t>
      </w:r>
      <w:r w:rsidRPr="003116B0">
        <w:rPr>
          <w:rFonts w:ascii="Arial Narrow" w:hAnsi="Arial Narrow" w:cs="Arial"/>
          <w:bCs/>
          <w:i/>
          <w:color w:val="000000"/>
          <w:sz w:val="20"/>
          <w:szCs w:val="20"/>
        </w:rPr>
        <w:t xml:space="preserve">Wytycznych ministra </w:t>
      </w:r>
      <w:r w:rsidRPr="003116B0">
        <w:rPr>
          <w:rFonts w:ascii="Arial Narrow" w:hAnsi="Arial Narrow" w:cs="Arial"/>
          <w:bCs/>
          <w:i/>
          <w:color w:val="000000"/>
          <w:sz w:val="20"/>
          <w:szCs w:val="20"/>
        </w:rPr>
        <w:lastRenderedPageBreak/>
        <w:t xml:space="preserve">właściwego ds. rozwoju w zakresie zagadnień związanych z przygotowaniem projektów inwestycyjnych, w tym projektów generujących dochód i projektów hybrydowych na lata 2014-2020. </w:t>
      </w:r>
    </w:p>
    <w:p w:rsidR="00031C5E" w:rsidRPr="003116B0" w:rsidRDefault="00031C5E" w:rsidP="00031C5E">
      <w:pPr>
        <w:rPr>
          <w:rFonts w:ascii="Arial Narrow" w:hAnsi="Arial Narrow" w:cs="Arial"/>
          <w:bCs/>
          <w:color w:val="000000"/>
          <w:sz w:val="20"/>
          <w:szCs w:val="20"/>
        </w:rPr>
      </w:pPr>
      <w:r w:rsidRPr="003116B0">
        <w:rPr>
          <w:rFonts w:ascii="Arial Narrow" w:hAnsi="Arial Narrow" w:cs="Arial"/>
          <w:bCs/>
          <w:color w:val="000000"/>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031C5E" w:rsidRPr="003116B0" w:rsidRDefault="00031C5E" w:rsidP="00031C5E">
      <w:pPr>
        <w:rPr>
          <w:rFonts w:ascii="Arial Narrow" w:hAnsi="Arial Narrow" w:cs="Arial"/>
          <w:bCs/>
          <w:color w:val="000000"/>
          <w:sz w:val="20"/>
          <w:szCs w:val="20"/>
          <w:u w:val="single"/>
        </w:rPr>
      </w:pPr>
    </w:p>
    <w:p w:rsidR="00031C5E" w:rsidRPr="003116B0" w:rsidRDefault="00031C5E" w:rsidP="00031C5E">
      <w:pPr>
        <w:rPr>
          <w:rFonts w:ascii="Arial Narrow" w:hAnsi="Arial Narrow" w:cs="Arial"/>
          <w:bCs/>
          <w:color w:val="000000"/>
          <w:sz w:val="20"/>
          <w:szCs w:val="20"/>
        </w:rPr>
      </w:pPr>
      <w:r w:rsidRPr="003116B0">
        <w:rPr>
          <w:rFonts w:ascii="Arial Narrow" w:hAnsi="Arial Narrow" w:cs="Arial"/>
          <w:bCs/>
          <w:color w:val="000000"/>
          <w:sz w:val="20"/>
          <w:szCs w:val="20"/>
        </w:rPr>
        <w:t>„Wartość wydatków kwalifikowalnych przed uwzględnieniem dochodu” - należy podać wartość wydatków kwalifikowalnych zgodnie z zasadami dotyczącymi kwalifikowalności wydatków.</w:t>
      </w:r>
    </w:p>
    <w:p w:rsidR="00031C5E" w:rsidRPr="003116B0" w:rsidRDefault="00031C5E" w:rsidP="00031C5E">
      <w:pPr>
        <w:rPr>
          <w:rFonts w:ascii="Arial Narrow" w:hAnsi="Arial Narrow" w:cs="Arial"/>
          <w:bCs/>
          <w:color w:val="000000"/>
          <w:sz w:val="20"/>
          <w:szCs w:val="20"/>
        </w:rPr>
      </w:pPr>
      <w:r w:rsidRPr="003116B0">
        <w:rPr>
          <w:rFonts w:ascii="Arial Narrow" w:hAnsi="Arial Narrow" w:cs="Arial"/>
          <w:bCs/>
          <w:color w:val="000000"/>
          <w:sz w:val="20"/>
          <w:szCs w:val="20"/>
        </w:rPr>
        <w:t>„Wartość generowanego dochodu” oblicza się następująco: &lt;Wartość dochodu&gt; = &lt;Wydatki kwalifikowalne przed dochodem&gt; x (1 - &lt;Luka w finansowaniu (%)&gt;/100).</w:t>
      </w:r>
    </w:p>
    <w:p w:rsidR="00031C5E" w:rsidRPr="003116B0" w:rsidRDefault="00031C5E" w:rsidP="00031C5E">
      <w:pPr>
        <w:rPr>
          <w:rFonts w:ascii="Arial Narrow" w:hAnsi="Arial Narrow" w:cs="Arial"/>
          <w:bCs/>
          <w:color w:val="000000"/>
          <w:sz w:val="20"/>
          <w:szCs w:val="20"/>
        </w:rPr>
      </w:pPr>
      <w:r w:rsidRPr="003116B0">
        <w:rPr>
          <w:rFonts w:ascii="Arial Narrow" w:hAnsi="Arial Narrow" w:cs="Arial"/>
          <w:bCs/>
          <w:color w:val="000000"/>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031C5E" w:rsidRPr="003116B0" w:rsidRDefault="00031C5E" w:rsidP="00031C5E">
      <w:pPr>
        <w:rPr>
          <w:rFonts w:ascii="Arial Narrow" w:hAnsi="Arial Narrow" w:cs="Arial"/>
          <w:bCs/>
          <w:color w:val="000000"/>
          <w:sz w:val="20"/>
          <w:szCs w:val="20"/>
        </w:rPr>
      </w:pPr>
    </w:p>
    <w:p w:rsidR="00031C5E" w:rsidRPr="003116B0" w:rsidRDefault="00031C5E" w:rsidP="00031C5E">
      <w:pPr>
        <w:rPr>
          <w:rFonts w:ascii="Arial Narrow" w:hAnsi="Arial Narrow" w:cs="Arial"/>
          <w:b/>
          <w:bCs/>
          <w:color w:val="000000"/>
          <w:sz w:val="20"/>
          <w:szCs w:val="20"/>
          <w:u w:val="single"/>
        </w:rPr>
      </w:pPr>
      <w:r w:rsidRPr="003116B0">
        <w:rPr>
          <w:rFonts w:ascii="Arial Narrow" w:hAnsi="Arial Narrow" w:cs="Arial"/>
          <w:b/>
          <w:bCs/>
          <w:color w:val="000000"/>
          <w:sz w:val="20"/>
          <w:szCs w:val="20"/>
          <w:u w:val="single"/>
        </w:rPr>
        <w:t>Zgodnie z art.61 ust.1 Rozporządzenia Nr 1303/2013 oszczędności kosztów operacyjnych osiągnięte przez operację są traktowane jako dochody, chyba że są skompensowane równoważnym zmniejszeniem dotacji operacyjnych.</w:t>
      </w:r>
    </w:p>
    <w:p w:rsidR="00031C5E" w:rsidRPr="003116B0" w:rsidRDefault="00031C5E" w:rsidP="00031C5E">
      <w:pPr>
        <w:rPr>
          <w:rFonts w:ascii="Arial Narrow" w:hAnsi="Arial Narrow" w:cs="Arial"/>
          <w:b/>
          <w:bCs/>
          <w:color w:val="000000"/>
          <w:sz w:val="20"/>
          <w:szCs w:val="20"/>
          <w:u w:val="single"/>
        </w:rPr>
      </w:pPr>
    </w:p>
    <w:p w:rsidR="00031C5E" w:rsidRPr="003116B0" w:rsidRDefault="00031C5E" w:rsidP="00031C5E">
      <w:pPr>
        <w:rPr>
          <w:rFonts w:ascii="Arial Narrow" w:hAnsi="Arial Narrow" w:cs="Arial"/>
          <w:b/>
          <w:bCs/>
          <w:color w:val="000000"/>
          <w:sz w:val="20"/>
          <w:szCs w:val="20"/>
          <w:u w:val="single"/>
        </w:rPr>
      </w:pPr>
      <w:r w:rsidRPr="003116B0">
        <w:rPr>
          <w:rFonts w:ascii="Arial Narrow" w:hAnsi="Arial Narrow" w:cs="Arial"/>
          <w:b/>
          <w:bCs/>
          <w:color w:val="000000"/>
          <w:sz w:val="20"/>
          <w:szCs w:val="20"/>
          <w:u w:val="single"/>
        </w:rPr>
        <w:t>W przypadku projektu generującego dochód, w którym występuje jedna z form pomocy publicznej nieobjęta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031C5E" w:rsidRPr="003116B0" w:rsidRDefault="00031C5E" w:rsidP="00031C5E">
      <w:pPr>
        <w:rPr>
          <w:rFonts w:ascii="Arial Narrow" w:hAnsi="Arial Narrow" w:cs="Arial"/>
          <w:bCs/>
          <w:color w:val="000000"/>
          <w:sz w:val="20"/>
          <w:szCs w:val="20"/>
        </w:rPr>
      </w:pPr>
    </w:p>
    <w:p w:rsidR="00031C5E" w:rsidRPr="003116B0" w:rsidRDefault="00031C5E" w:rsidP="00031C5E">
      <w:pPr>
        <w:rPr>
          <w:rFonts w:ascii="Arial Narrow" w:hAnsi="Arial Narrow" w:cs="Arial"/>
          <w:b/>
          <w:bCs/>
          <w:color w:val="000000"/>
          <w:sz w:val="20"/>
          <w:szCs w:val="20"/>
          <w:u w:val="single"/>
        </w:rPr>
      </w:pPr>
      <w:r w:rsidRPr="003116B0">
        <w:rPr>
          <w:rFonts w:ascii="Arial Narrow" w:hAnsi="Arial Narrow" w:cs="Arial"/>
          <w:bCs/>
          <w:color w:val="000000"/>
          <w:sz w:val="20"/>
          <w:szCs w:val="20"/>
        </w:rPr>
        <w:t>Wnioskodawca stawia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 xml:space="preserve">Wyjątek w zakresie kwalifikowalności wydatku może dotyczyć </w:t>
      </w:r>
      <w:r w:rsidR="001E5AE2" w:rsidRPr="001E5AE2">
        <w:rPr>
          <w:rFonts w:ascii="Arial Narrow" w:hAnsi="Arial Narrow" w:cs="Arial"/>
          <w:sz w:val="20"/>
          <w:szCs w:val="20"/>
        </w:rPr>
        <w:lastRenderedPageBreak/>
        <w:t>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lastRenderedPageBreak/>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500860" w:rsidRP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lastRenderedPageBreak/>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w:t>
      </w:r>
      <w:r w:rsidRPr="001D76E3">
        <w:rPr>
          <w:rFonts w:ascii="Arial Narrow" w:hAnsi="Arial Narrow" w:cs="Arial"/>
          <w:i/>
          <w:sz w:val="20"/>
          <w:szCs w:val="20"/>
        </w:rPr>
        <w:lastRenderedPageBreak/>
        <w:t>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0D6F22"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w:t>
      </w:r>
      <w:r w:rsidR="00500860">
        <w:rPr>
          <w:rFonts w:ascii="Arial Narrow" w:hAnsi="Arial Narrow" w:cs="Arial"/>
          <w:sz w:val="20"/>
          <w:szCs w:val="20"/>
        </w:rPr>
        <w:t>rzedkłada poniższe oświadczeni</w:t>
      </w:r>
    </w:p>
    <w:p w:rsidR="000D6F22" w:rsidRDefault="000D6F22" w:rsidP="00853C2C">
      <w:pPr>
        <w:autoSpaceDE w:val="0"/>
        <w:autoSpaceDN w:val="0"/>
        <w:adjustRightInd w:val="0"/>
        <w:spacing w:line="276" w:lineRule="auto"/>
        <w:jc w:val="both"/>
        <w:rPr>
          <w:rFonts w:ascii="Arial Narrow" w:hAnsi="Arial Narrow" w:cs="Arial"/>
          <w:sz w:val="20"/>
          <w:szCs w:val="20"/>
        </w:rPr>
      </w:pPr>
    </w:p>
    <w:p w:rsidR="000D6F22" w:rsidRDefault="000D6F22"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B39B"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0D6F22" w:rsidRPr="00500860" w:rsidRDefault="00853C2C" w:rsidP="00500860">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w:t>
      </w:r>
      <w:r w:rsidR="00500860">
        <w:rPr>
          <w:rFonts w:ascii="Arial Narrow" w:hAnsi="Arial Narrow" w:cs="Arial"/>
          <w:sz w:val="16"/>
          <w:szCs w:val="16"/>
        </w:rPr>
        <w:t xml:space="preserve"> U. z  2017 r. poz. 1221 ze </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435A38" w:rsidRPr="001D76E3"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Default="008D7CEE"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Default="002D0A66" w:rsidP="001D76E3">
      <w:pPr>
        <w:spacing w:line="276" w:lineRule="auto"/>
        <w:jc w:val="both"/>
        <w:rPr>
          <w:rFonts w:ascii="Arial Narrow" w:hAnsi="Arial Narrow" w:cs="Arial"/>
          <w:sz w:val="20"/>
          <w:szCs w:val="20"/>
        </w:rPr>
      </w:pP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lastRenderedPageBreak/>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w:t>
      </w:r>
      <w:r w:rsidRPr="009B26F3">
        <w:rPr>
          <w:rFonts w:ascii="Arial Narrow" w:hAnsi="Arial Narrow" w:cs="Arial"/>
          <w:sz w:val="20"/>
          <w:szCs w:val="20"/>
          <w:lang w:val="x-none"/>
        </w:rPr>
        <w:lastRenderedPageBreak/>
        <w:t>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lastRenderedPageBreak/>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lastRenderedPageBreak/>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w:t>
            </w:r>
            <w:r w:rsidRPr="008704C2">
              <w:rPr>
                <w:rFonts w:ascii="Arial Narrow" w:eastAsia="Calibri" w:hAnsi="Arial Narrow" w:cs="Arial"/>
                <w:color w:val="000000"/>
                <w:sz w:val="20"/>
                <w:szCs w:val="20"/>
                <w:lang w:eastAsia="en-US"/>
              </w:rPr>
              <w:lastRenderedPageBreak/>
              <w:t xml:space="preserve">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priorytetowym, które są uzasadnione tak ważnymi względami jak nadrzędny </w:t>
      </w:r>
      <w:r w:rsidRPr="008704C2">
        <w:rPr>
          <w:rFonts w:ascii="Arial Narrow" w:hAnsi="Arial Narrow" w:cs="Arial"/>
          <w:sz w:val="20"/>
          <w:szCs w:val="20"/>
          <w:lang w:eastAsia="en-GB"/>
        </w:rPr>
        <w:lastRenderedPageBreak/>
        <w:t>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w:t>
            </w:r>
            <w:r w:rsidRPr="008704C2">
              <w:rPr>
                <w:rFonts w:ascii="Arial Narrow" w:eastAsia="Calibri" w:hAnsi="Arial Narrow" w:cs="Arial"/>
                <w:color w:val="000000"/>
                <w:sz w:val="20"/>
                <w:szCs w:val="20"/>
                <w:lang w:eastAsia="en-US"/>
              </w:rPr>
              <w:lastRenderedPageBreak/>
              <w:t xml:space="preserve">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w:t>
            </w:r>
            <w:r w:rsidRPr="008704C2">
              <w:rPr>
                <w:rFonts w:ascii="Arial Narrow" w:eastAsia="Calibri" w:hAnsi="Arial Narrow" w:cs="Arial"/>
                <w:color w:val="000000"/>
                <w:sz w:val="20"/>
                <w:szCs w:val="20"/>
                <w:lang w:eastAsia="en-US"/>
              </w:rPr>
              <w:lastRenderedPageBreak/>
              <w:t xml:space="preserve">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E036BF" w:rsidRDefault="008704C2" w:rsidP="002D0A66">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Default="00B82E48" w:rsidP="001D76E3">
      <w:pPr>
        <w:spacing w:line="276" w:lineRule="auto"/>
        <w:rPr>
          <w:rFonts w:ascii="Arial Narrow" w:hAnsi="Arial Narrow" w:cs="Arial"/>
          <w:sz w:val="20"/>
          <w:szCs w:val="20"/>
        </w:rPr>
      </w:pPr>
    </w:p>
    <w:p w:rsidR="002D0A66" w:rsidRDefault="002D0A66" w:rsidP="001D76E3">
      <w:pPr>
        <w:spacing w:line="276" w:lineRule="auto"/>
        <w:rPr>
          <w:rFonts w:ascii="Arial Narrow" w:hAnsi="Arial Narrow" w:cs="Arial"/>
          <w:sz w:val="20"/>
          <w:szCs w:val="20"/>
        </w:rPr>
      </w:pPr>
    </w:p>
    <w:p w:rsidR="002D0A66" w:rsidRDefault="002D0A66" w:rsidP="001D76E3">
      <w:pPr>
        <w:spacing w:line="276" w:lineRule="auto"/>
        <w:rPr>
          <w:rFonts w:ascii="Arial Narrow" w:hAnsi="Arial Narrow" w:cs="Arial"/>
          <w:sz w:val="20"/>
          <w:szCs w:val="20"/>
        </w:rPr>
      </w:pPr>
    </w:p>
    <w:p w:rsidR="002D0A66" w:rsidRDefault="002D0A66" w:rsidP="001D76E3">
      <w:pPr>
        <w:spacing w:line="276" w:lineRule="auto"/>
        <w:rPr>
          <w:rFonts w:ascii="Arial Narrow" w:hAnsi="Arial Narrow" w:cs="Arial"/>
          <w:sz w:val="20"/>
          <w:szCs w:val="20"/>
        </w:rPr>
      </w:pPr>
    </w:p>
    <w:p w:rsidR="002D0A66" w:rsidRDefault="002D0A66" w:rsidP="001D76E3">
      <w:pPr>
        <w:spacing w:line="276" w:lineRule="auto"/>
        <w:rPr>
          <w:rFonts w:ascii="Arial Narrow" w:hAnsi="Arial Narrow" w:cs="Arial"/>
          <w:sz w:val="20"/>
          <w:szCs w:val="20"/>
        </w:rPr>
      </w:pPr>
    </w:p>
    <w:p w:rsidR="002D0A66" w:rsidRPr="001D76E3" w:rsidRDefault="002D0A6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lastRenderedPageBreak/>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Altmark Trans GmbH i Regierungspräsidium Magdeburg przeciwko Nahverkehrsgesellschaft Altmark GmbH (Altmark) (Sprawa C-280/00 Altmark) Trybunał Sprawiedliwości Unii Europejskiej orzekł, że rekompensata z </w:t>
            </w:r>
            <w:r w:rsidRPr="001D76E3">
              <w:rPr>
                <w:rFonts w:ascii="Arial Narrow" w:hAnsi="Arial Narrow" w:cs="Arial"/>
                <w:sz w:val="20"/>
                <w:szCs w:val="20"/>
                <w:lang w:eastAsia="en-US"/>
              </w:rPr>
              <w:lastRenderedPageBreak/>
              <w:t>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w:t>
      </w:r>
      <w:r w:rsidRPr="001D76E3">
        <w:rPr>
          <w:rFonts w:ascii="Arial Narrow" w:hAnsi="Arial Narrow" w:cs="Arial"/>
          <w:sz w:val="20"/>
          <w:szCs w:val="20"/>
        </w:rPr>
        <w:lastRenderedPageBreak/>
        <w:t xml:space="preserve">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lastRenderedPageBreak/>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lastRenderedPageBreak/>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w:t>
      </w:r>
      <w:r w:rsidRPr="001D76E3">
        <w:rPr>
          <w:rFonts w:ascii="Arial Narrow" w:hAnsi="Arial Narrow" w:cs="Arial"/>
          <w:sz w:val="20"/>
          <w:szCs w:val="20"/>
          <w:lang w:eastAsia="en-US"/>
        </w:rPr>
        <w:lastRenderedPageBreak/>
        <w:t xml:space="preserve">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xml:space="preserve">” w rozumieniu art. 2 ust. 2 rozporządzenia Komisji (UE) nr 1407/2013 z dnia 18 </w:t>
      </w:r>
      <w:r w:rsidRPr="001D76E3">
        <w:rPr>
          <w:rFonts w:ascii="Arial Narrow" w:hAnsi="Arial Narrow" w:cs="Arial"/>
          <w:i/>
          <w:sz w:val="20"/>
          <w:szCs w:val="20"/>
        </w:rPr>
        <w:lastRenderedPageBreak/>
        <w:t>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F6494C" w:rsidRDefault="004A423D" w:rsidP="000D6F22">
      <w:pPr>
        <w:pStyle w:val="Nagwek1"/>
        <w:spacing w:before="63" w:line="276" w:lineRule="auto"/>
        <w:ind w:right="1688"/>
        <w:rPr>
          <w:rFonts w:ascii="Arial Narrow" w:hAnsi="Arial Narrow" w:cs="Arial"/>
          <w:sz w:val="20"/>
          <w:szCs w:val="20"/>
        </w:rPr>
      </w:pPr>
    </w:p>
    <w:sectPr w:rsidR="004A423D" w:rsidRPr="00F6494C"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41" w:rsidRDefault="00AA5041" w:rsidP="00512F18">
      <w:r>
        <w:separator/>
      </w:r>
    </w:p>
  </w:endnote>
  <w:endnote w:type="continuationSeparator" w:id="0">
    <w:p w:rsidR="00AA5041" w:rsidRDefault="00AA504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EndPr/>
    <w:sdtContent>
      <w:p w:rsidR="00AA5041" w:rsidRDefault="00AA5041">
        <w:pPr>
          <w:pStyle w:val="Stopka"/>
          <w:jc w:val="right"/>
        </w:pPr>
        <w:r>
          <w:fldChar w:fldCharType="begin"/>
        </w:r>
        <w:r>
          <w:instrText>PAGE   \* MERGEFORMAT</w:instrText>
        </w:r>
        <w:r>
          <w:fldChar w:fldCharType="separate"/>
        </w:r>
        <w:r w:rsidR="0034099C">
          <w:rPr>
            <w:noProof/>
          </w:rPr>
          <w:t>1</w:t>
        </w:r>
        <w:r>
          <w:rPr>
            <w:noProof/>
          </w:rPr>
          <w:fldChar w:fldCharType="end"/>
        </w:r>
      </w:p>
    </w:sdtContent>
  </w:sdt>
  <w:p w:rsidR="00AA5041" w:rsidRDefault="00AA5041">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41" w:rsidRDefault="00AA5041" w:rsidP="00512F18">
      <w:r>
        <w:separator/>
      </w:r>
    </w:p>
  </w:footnote>
  <w:footnote w:type="continuationSeparator" w:id="0">
    <w:p w:rsidR="00AA5041" w:rsidRDefault="00AA5041" w:rsidP="00512F18">
      <w:r>
        <w:continuationSeparator/>
      </w:r>
    </w:p>
  </w:footnote>
  <w:footnote w:id="1">
    <w:p w:rsidR="00AA5041" w:rsidRPr="00446D48" w:rsidRDefault="00AA5041"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AA5041" w:rsidRPr="00446D48" w:rsidRDefault="00AA5041"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AA5041" w:rsidRPr="00446D48" w:rsidRDefault="00AA5041"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AA5041" w:rsidRPr="00446D48" w:rsidRDefault="00AA5041"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AA5041" w:rsidRPr="00A55F49" w:rsidRDefault="00AA5041"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A5041" w:rsidRDefault="00AA5041"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AA5041" w:rsidRDefault="00AA5041"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AA5041" w:rsidRDefault="00AA5041"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AA5041" w:rsidRDefault="00AA5041"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AA5041" w:rsidRPr="004F33F2" w:rsidRDefault="00AA5041"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AA5041" w:rsidRDefault="00AA5041"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AA5041" w:rsidRDefault="00AA5041"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AA5041" w:rsidRDefault="00AA5041"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AA5041" w:rsidRDefault="00AA5041"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AA5041" w:rsidRPr="003907E0" w:rsidRDefault="00AA5041"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AA5041" w:rsidRDefault="00AA5041"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AA5041" w:rsidRDefault="00AA5041"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AA5041" w:rsidRDefault="00AA5041"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AA5041" w:rsidRDefault="00AA5041"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AA5041" w:rsidRPr="00CA4D66" w:rsidRDefault="00AA5041"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A5041" w:rsidRDefault="0034099C" w:rsidP="008704C2">
      <w:pPr>
        <w:pStyle w:val="Tekstprzypisudolnego"/>
        <w:jc w:val="both"/>
      </w:pPr>
      <w:hyperlink r:id="rId2" w:history="1">
        <w:r w:rsidR="00AA5041" w:rsidRPr="00F66CF3">
          <w:rPr>
            <w:rStyle w:val="Hipercze"/>
            <w:rFonts w:ascii="Arial" w:hAnsi="Arial" w:cs="Arial"/>
            <w:sz w:val="18"/>
            <w:szCs w:val="18"/>
          </w:rPr>
          <w:t>http://ec.europa.eu/clima/policies/adaptation/what/docs/non_paper_guidelines_project_managers_en.pdf</w:t>
        </w:r>
      </w:hyperlink>
      <w:r w:rsidR="00AA5041"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A5041" w:rsidRPr="00F66CF3">
          <w:rPr>
            <w:rStyle w:val="Hipercze"/>
            <w:rFonts w:ascii="Arial" w:hAnsi="Arial" w:cs="Arial"/>
            <w:sz w:val="18"/>
            <w:szCs w:val="18"/>
          </w:rPr>
          <w:t>http://ec.europa.eu/environment/eia/home.htm</w:t>
        </w:r>
      </w:hyperlink>
      <w:r w:rsidR="00AA5041" w:rsidRPr="00CA4D66">
        <w:rPr>
          <w:rFonts w:ascii="Arial" w:hAnsi="Arial" w:cs="Arial"/>
          <w:color w:val="000000"/>
          <w:sz w:val="18"/>
          <w:szCs w:val="18"/>
        </w:rPr>
        <w:t xml:space="preserve"> </w:t>
      </w:r>
      <w:r w:rsidR="00AA5041" w:rsidRPr="00CA4D66">
        <w:rPr>
          <w:rFonts w:ascii="Arial" w:hAnsi="Arial" w:cs="Arial"/>
          <w:color w:val="000000"/>
          <w:sz w:val="24"/>
          <w:szCs w:val="24"/>
        </w:rPr>
        <w:t xml:space="preserve"> </w:t>
      </w:r>
    </w:p>
  </w:footnote>
  <w:footnote w:id="20">
    <w:p w:rsidR="00AA5041" w:rsidRPr="00CA4D66" w:rsidRDefault="00AA5041"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AA5041" w:rsidRDefault="00AA5041"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AA5041" w:rsidRPr="004054B5" w:rsidRDefault="00AA504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AA5041" w:rsidRPr="004054B5" w:rsidRDefault="00AA504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AA5041" w:rsidRPr="004054B5" w:rsidRDefault="00AA504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AA5041" w:rsidRPr="004054B5" w:rsidRDefault="00AA504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AA5041" w:rsidRPr="004054B5" w:rsidRDefault="00AA504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AA5041" w:rsidRPr="004054B5" w:rsidRDefault="00AA504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AA5041" w:rsidRPr="004054B5" w:rsidRDefault="00AA504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AA5041" w:rsidRDefault="00AA5041"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AA5041" w:rsidRPr="00F26BB8" w:rsidRDefault="00AA504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AA5041" w:rsidRPr="00F26BB8" w:rsidRDefault="00AA504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AA5041" w:rsidRDefault="00AA5041"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AA5041" w:rsidRDefault="00AA5041"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AA5041" w:rsidRDefault="00AA5041"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AA5041" w:rsidRDefault="00AA5041"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AA5041" w:rsidRPr="004054B5" w:rsidRDefault="00AA5041"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AA5041" w:rsidRPr="008D5991" w:rsidRDefault="00AA5041"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A5041" w:rsidRPr="008D5991" w:rsidRDefault="00AA5041"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AA5041" w:rsidRPr="006B6FC2" w:rsidRDefault="00AA504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AA5041" w:rsidRPr="006B6FC2" w:rsidRDefault="00AA5041"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AA5041" w:rsidRPr="0079193E" w:rsidRDefault="00AA504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AA5041" w:rsidRPr="004054B5" w:rsidRDefault="00AA5041"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A5041" w:rsidRPr="004054B5" w:rsidRDefault="00AA5041"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A5041" w:rsidRPr="004054B5" w:rsidRDefault="00AA5041"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A5041" w:rsidRPr="004054B5" w:rsidRDefault="00AA5041"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A5041" w:rsidRPr="004054B5" w:rsidRDefault="00AA5041"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A5041" w:rsidRPr="004054B5" w:rsidRDefault="00AA5041"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AA5041" w:rsidRPr="004054B5" w:rsidRDefault="00AA504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AA5041" w:rsidRDefault="00AA5041"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0A6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99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446D"/>
    <w:rsid w:val="0040514A"/>
    <w:rsid w:val="004054B5"/>
    <w:rsid w:val="0040734D"/>
    <w:rsid w:val="0041180F"/>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7EAC"/>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4A91C97-9DE4-4494-BDBF-8993BA49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7781-44B4-4490-AAA6-BBC7204F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31157</Words>
  <Characters>186945</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Aleksandra Świątek</cp:lastModifiedBy>
  <cp:revision>2</cp:revision>
  <cp:lastPrinted>2018-02-08T13:55:00Z</cp:lastPrinted>
  <dcterms:created xsi:type="dcterms:W3CDTF">2018-04-30T12:50:00Z</dcterms:created>
  <dcterms:modified xsi:type="dcterms:W3CDTF">2018-04-30T12:50:00Z</dcterms:modified>
</cp:coreProperties>
</file>