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3531159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057DD6" w:rsidRPr="004F33F2">
        <w:rPr>
          <w:rFonts w:ascii="Arial Narrow" w:hAnsi="Arial Narrow" w:cs="Arial"/>
          <w:sz w:val="22"/>
        </w:rPr>
        <w:t xml:space="preserve">Infrastruktury i </w:t>
      </w:r>
      <w:r w:rsidRPr="004F33F2">
        <w:rPr>
          <w:rFonts w:ascii="Arial Narrow" w:hAnsi="Arial Narrow" w:cs="Arial"/>
          <w:sz w:val="22"/>
        </w:rPr>
        <w:t xml:space="preserve">Rozwoju w zakresie zagadnień związanych z przygotowaniem projektów inwestycyjnych, w tym projektów generujących dochód i projektów hybrydowych na lata 2014-2020 z dnia </w:t>
      </w:r>
      <w:r w:rsidR="00057DD6">
        <w:rPr>
          <w:rFonts w:ascii="Arial Narrow" w:hAnsi="Arial Narrow" w:cs="Arial"/>
          <w:sz w:val="22"/>
        </w:rPr>
        <w:t>18 marca 2015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537746">
      <w:pPr>
        <w:pStyle w:val="Akapitzlist"/>
        <w:numPr>
          <w:ilvl w:val="0"/>
          <w:numId w:val="147"/>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37746">
      <w:pPr>
        <w:pStyle w:val="Akapitzlist"/>
        <w:numPr>
          <w:ilvl w:val="0"/>
          <w:numId w:val="147"/>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537746">
      <w:pPr>
        <w:pStyle w:val="Akapitzlist"/>
        <w:numPr>
          <w:ilvl w:val="0"/>
          <w:numId w:val="147"/>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lastRenderedPageBreak/>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Ministra  Rozwoju w zakresie rewitalizacji w programach operacyjnych na lata 2014-2020. Wynikanie projektu z programu </w:t>
      </w:r>
      <w:r w:rsidR="00B41823" w:rsidRPr="004F33F2">
        <w:rPr>
          <w:rFonts w:ascii="Arial Narrow" w:hAnsi="Arial Narrow"/>
          <w:sz w:val="22"/>
        </w:rPr>
        <w:lastRenderedPageBreak/>
        <w:t>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21F4E784"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675918">
        <w:rPr>
          <w:rFonts w:ascii="Arial Narrow" w:hAnsi="Arial Narrow"/>
          <w:sz w:val="22"/>
          <w:szCs w:val="22"/>
        </w:rPr>
        <w:t>poddziałania VII.1.2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557FE27A" w14:textId="23BAB640" w:rsidR="00537746" w:rsidRPr="00537746" w:rsidRDefault="00537746" w:rsidP="00537746">
      <w:pPr>
        <w:spacing w:after="120" w:line="276" w:lineRule="auto"/>
        <w:jc w:val="both"/>
        <w:rPr>
          <w:rFonts w:ascii="Arial Narrow" w:hAnsi="Arial Narrow"/>
          <w:sz w:val="22"/>
          <w:szCs w:val="22"/>
        </w:rPr>
      </w:pPr>
      <w:r w:rsidRPr="00A81BBE">
        <w:rPr>
          <w:rFonts w:ascii="Arial Narrow" w:hAnsi="Arial Narrow"/>
          <w:b/>
          <w:sz w:val="22"/>
          <w:szCs w:val="22"/>
        </w:rPr>
        <w:t>048 -</w:t>
      </w:r>
      <w:r w:rsidRPr="00537746">
        <w:rPr>
          <w:rFonts w:ascii="Arial Narrow" w:hAnsi="Arial Narrow"/>
          <w:sz w:val="22"/>
          <w:szCs w:val="22"/>
        </w:rPr>
        <w:t xml:space="preserve"> TIK: Inne rodzaje infrastruktury TIK / zasobów lub wyposażenia komputerowego o dużej skali (w tym e-infrastruktura, centra danych i sensory, również w budowane w innego rodzaju infrastrukturę, np. obiekty badawcze, infrastrukturę społeczną lub służącą</w:t>
      </w:r>
      <w:r>
        <w:rPr>
          <w:rFonts w:ascii="Arial Narrow" w:hAnsi="Arial Narrow"/>
          <w:sz w:val="22"/>
          <w:szCs w:val="22"/>
        </w:rPr>
        <w:t xml:space="preserve"> </w:t>
      </w:r>
      <w:r w:rsidRPr="00537746">
        <w:rPr>
          <w:rFonts w:ascii="Arial Narrow" w:hAnsi="Arial Narrow"/>
          <w:sz w:val="22"/>
          <w:szCs w:val="22"/>
        </w:rPr>
        <w:t>ochronie środowiska)</w:t>
      </w:r>
    </w:p>
    <w:p w14:paraId="26205317"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078 -</w:t>
      </w:r>
      <w:r w:rsidRPr="00537746">
        <w:rPr>
          <w:rFonts w:ascii="Arial Narrow" w:hAnsi="Arial Narrow"/>
          <w:sz w:val="22"/>
          <w:szCs w:val="22"/>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14:paraId="41205AFE"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079 -</w:t>
      </w:r>
      <w:r w:rsidRPr="00537746">
        <w:rPr>
          <w:rFonts w:ascii="Arial Narrow" w:hAnsi="Arial Narrow"/>
          <w:sz w:val="22"/>
          <w:szCs w:val="22"/>
        </w:rPr>
        <w:t xml:space="preserve"> Dostęp do informacji sektora publicznego (w tym otwartych danych w zakresie e-kultury, bibliotek cyfrowych, zasobów cyfrowych i turystyki elektronicznej)</w:t>
      </w:r>
    </w:p>
    <w:p w14:paraId="293280B5" w14:textId="66C20759" w:rsidR="00862398" w:rsidRPr="00862398"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101 -</w:t>
      </w:r>
      <w:r w:rsidRPr="00537746">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r w:rsidR="00862398"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r w:rsidR="00675918">
        <w:rPr>
          <w:rFonts w:ascii="Arial Narrow" w:hAnsi="Arial Narrow"/>
          <w:sz w:val="22"/>
          <w:szCs w:val="22"/>
        </w:rPr>
        <w:t xml:space="preserve">. Jeśli finansowanie krzyżowe występuje w projekcie kod należy </w:t>
      </w:r>
      <w:r>
        <w:rPr>
          <w:rFonts w:ascii="Arial Narrow" w:hAnsi="Arial Narrow"/>
          <w:sz w:val="22"/>
          <w:szCs w:val="22"/>
        </w:rPr>
        <w:t>wpisać, jako</w:t>
      </w:r>
      <w:r w:rsidR="00675918">
        <w:rPr>
          <w:rFonts w:ascii="Arial Narrow" w:hAnsi="Arial Narrow"/>
          <w:sz w:val="22"/>
          <w:szCs w:val="22"/>
        </w:rPr>
        <w:t xml:space="preserve"> kod uzupełniający.</w:t>
      </w:r>
    </w:p>
    <w:p w14:paraId="64E6B2C3" w14:textId="77777777" w:rsidR="00862398" w:rsidRDefault="00862398" w:rsidP="00537746">
      <w:pPr>
        <w:spacing w:line="276" w:lineRule="auto"/>
        <w:jc w:val="both"/>
        <w:rPr>
          <w:rFonts w:ascii="Arial Narrow" w:hAnsi="Arial Narrow"/>
          <w:sz w:val="22"/>
          <w:szCs w:val="22"/>
        </w:rPr>
      </w:pPr>
      <w:bookmarkStart w:id="0" w:name="_GoBack"/>
      <w:bookmarkEnd w:id="0"/>
    </w:p>
    <w:p w14:paraId="38FF0D45" w14:textId="77777777" w:rsidR="00ED7C93" w:rsidRDefault="00ED7C93" w:rsidP="00537746">
      <w:pPr>
        <w:spacing w:line="276" w:lineRule="auto"/>
        <w:jc w:val="both"/>
        <w:rPr>
          <w:rFonts w:ascii="Arial Narrow" w:hAnsi="Arial Narrow"/>
          <w:sz w:val="22"/>
          <w:szCs w:val="22"/>
        </w:rPr>
      </w:pP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77777777"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537746">
        <w:rPr>
          <w:rFonts w:ascii="Arial Narrow" w:hAnsi="Arial Narrow"/>
          <w:sz w:val="22"/>
          <w:szCs w:val="22"/>
        </w:rPr>
        <w:t xml:space="preserve">z dnia 30 listopada 2015 </w:t>
      </w:r>
      <w:r w:rsidR="00B51088" w:rsidRPr="00537746">
        <w:rPr>
          <w:rFonts w:ascii="Arial Narrow" w:hAnsi="Arial Narrow"/>
          <w:sz w:val="22"/>
          <w:szCs w:val="22"/>
        </w:rPr>
        <w:lastRenderedPageBreak/>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Wnioskodawca określa charakter projektu w odniesieniu do kwestii realizacji polityki równych szans, poprzez wskazanie odpowiedniego charakteru pod względem równych szans kobiet i mężczyzn. Wnioskodawca może </w:t>
      </w:r>
      <w:r w:rsidRPr="003A663B">
        <w:rPr>
          <w:rFonts w:ascii="Arial Narrow" w:hAnsi="Arial Narrow"/>
          <w:sz w:val="22"/>
          <w:szCs w:val="22"/>
        </w:rPr>
        <w:lastRenderedPageBreak/>
        <w:t>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lastRenderedPageBreak/>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 xml:space="preserve">Ze względu na specyfikę niektórych wskaźników rezultatu możliwe jest, iż wartość docelowa </w:t>
      </w:r>
      <w:r w:rsidR="00544EEC" w:rsidRPr="004F33F2">
        <w:rPr>
          <w:rFonts w:ascii="Arial Narrow" w:hAnsi="Arial Narrow"/>
          <w:sz w:val="22"/>
          <w:szCs w:val="22"/>
        </w:rPr>
        <w:lastRenderedPageBreak/>
        <w:t>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w:t>
      </w:r>
      <w:r w:rsidRPr="00067EF2">
        <w:rPr>
          <w:rFonts w:ascii="Arial Narrow" w:hAnsi="Arial Narrow"/>
          <w:sz w:val="22"/>
          <w:szCs w:val="22"/>
        </w:rPr>
        <w:lastRenderedPageBreak/>
        <w:t xml:space="preserve">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xml:space="preserve">. W sytuacji określenia w studium wykonalności </w:t>
      </w:r>
      <w:r w:rsidRPr="00E80611">
        <w:rPr>
          <w:rFonts w:ascii="Arial Narrow" w:hAnsi="Arial Narrow"/>
          <w:sz w:val="22"/>
          <w:szCs w:val="22"/>
        </w:rPr>
        <w:lastRenderedPageBreak/>
        <w:t>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057DD6">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057DD6" w:rsidRDefault="00057DD6" w:rsidP="00057DD6">
      <w:pPr>
        <w:keepNext/>
        <w:autoSpaceDE w:val="0"/>
        <w:autoSpaceDN w:val="0"/>
        <w:adjustRightInd w:val="0"/>
        <w:jc w:val="both"/>
        <w:rPr>
          <w:rFonts w:ascii="Arial Narrow" w:hAnsi="Arial Narrow"/>
          <w:sz w:val="22"/>
          <w:szCs w:val="22"/>
        </w:rPr>
      </w:pPr>
    </w:p>
    <w:p w14:paraId="0C4D943E" w14:textId="220EFDF6" w:rsidR="009B4B7F" w:rsidRPr="004F33F2" w:rsidRDefault="00E957B2" w:rsidP="00537746">
      <w:pPr>
        <w:pStyle w:val="Akapitzlist"/>
        <w:numPr>
          <w:ilvl w:val="0"/>
          <w:numId w:val="128"/>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14826A24" w14:textId="77777777" w:rsidR="00723F48" w:rsidRPr="00941A7F" w:rsidRDefault="00723F48" w:rsidP="00537746">
      <w:pPr>
        <w:spacing w:line="276" w:lineRule="auto"/>
        <w:jc w:val="both"/>
        <w:rPr>
          <w:rFonts w:ascii="Arial Narrow" w:hAnsi="Arial Narrow"/>
          <w:sz w:val="22"/>
          <w:szCs w:val="22"/>
        </w:rPr>
      </w:pP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AC3483">
      <w:pPr>
        <w:numPr>
          <w:ilvl w:val="3"/>
          <w:numId w:val="135"/>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AC3483">
      <w:pPr>
        <w:numPr>
          <w:ilvl w:val="0"/>
          <w:numId w:val="130"/>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AC3483">
      <w:pPr>
        <w:numPr>
          <w:ilvl w:val="0"/>
          <w:numId w:val="13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AC3483">
      <w:pPr>
        <w:numPr>
          <w:ilvl w:val="0"/>
          <w:numId w:val="136"/>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AC3483">
      <w:pPr>
        <w:numPr>
          <w:ilvl w:val="0"/>
          <w:numId w:val="136"/>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AC3483">
      <w:pPr>
        <w:numPr>
          <w:ilvl w:val="0"/>
          <w:numId w:val="130"/>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AC3483">
      <w:pPr>
        <w:numPr>
          <w:ilvl w:val="0"/>
          <w:numId w:val="13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AC3483">
      <w:pPr>
        <w:numPr>
          <w:ilvl w:val="0"/>
          <w:numId w:val="13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AC3483">
      <w:pPr>
        <w:numPr>
          <w:ilvl w:val="0"/>
          <w:numId w:val="130"/>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AC3483">
      <w:pPr>
        <w:numPr>
          <w:ilvl w:val="0"/>
          <w:numId w:val="131"/>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AC3483">
      <w:pPr>
        <w:numPr>
          <w:ilvl w:val="0"/>
          <w:numId w:val="131"/>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AC3483">
      <w:pPr>
        <w:numPr>
          <w:ilvl w:val="0"/>
          <w:numId w:val="131"/>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Krajowy Plan Działania w zakresie energii ze źródeł odnawialnych (2010) </w:t>
            </w:r>
          </w:p>
          <w:p w14:paraId="37979B33"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537746">
            <w:pPr>
              <w:pStyle w:val="Default"/>
              <w:numPr>
                <w:ilvl w:val="0"/>
                <w:numId w:val="22"/>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537746">
      <w:pPr>
        <w:pStyle w:val="Akapitzlist"/>
        <w:numPr>
          <w:ilvl w:val="0"/>
          <w:numId w:val="141"/>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537746">
            <w:pPr>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537746">
            <w:pPr>
              <w:pStyle w:val="Default"/>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537746">
            <w:pPr>
              <w:numPr>
                <w:ilvl w:val="0"/>
                <w:numId w:val="20"/>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537746">
            <w:pPr>
              <w:numPr>
                <w:ilvl w:val="0"/>
                <w:numId w:val="20"/>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w:t>
            </w:r>
            <w:r w:rsidRPr="004F33F2">
              <w:rPr>
                <w:rFonts w:ascii="Arial Narrow" w:hAnsi="Arial Narrow" w:cs="Arial"/>
                <w:sz w:val="20"/>
                <w:szCs w:val="20"/>
              </w:rPr>
              <w:lastRenderedPageBreak/>
              <w:t xml:space="preserve">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t>
            </w:r>
            <w:r w:rsidRPr="004F33F2">
              <w:rPr>
                <w:rFonts w:ascii="Arial Narrow" w:hAnsi="Arial Narrow" w:cs="Arial"/>
                <w:sz w:val="20"/>
                <w:szCs w:val="20"/>
              </w:rPr>
              <w:lastRenderedPageBreak/>
              <w:t>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uznające niektóre rodzaje pomocy za zgodne z rynkiem </w:t>
      </w:r>
      <w:r w:rsidRPr="004F33F2">
        <w:rPr>
          <w:rFonts w:ascii="Arial Narrow" w:hAnsi="Arial Narrow"/>
          <w:bCs/>
          <w:sz w:val="20"/>
          <w:szCs w:val="20"/>
        </w:rPr>
        <w:lastRenderedPageBreak/>
        <w:t>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537746">
      <w:pPr>
        <w:numPr>
          <w:ilvl w:val="0"/>
          <w:numId w:val="27"/>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537746">
      <w:pPr>
        <w:pStyle w:val="Akapitzlist"/>
        <w:numPr>
          <w:ilvl w:val="0"/>
          <w:numId w:val="27"/>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537746">
      <w:pPr>
        <w:numPr>
          <w:ilvl w:val="0"/>
          <w:numId w:val="27"/>
        </w:numPr>
        <w:spacing w:line="276" w:lineRule="auto"/>
        <w:rPr>
          <w:rFonts w:ascii="Arial Narrow" w:hAnsi="Arial Narrow"/>
          <w:b/>
          <w:bCs/>
          <w:sz w:val="20"/>
          <w:szCs w:val="20"/>
        </w:rPr>
      </w:pPr>
      <w:r w:rsidRPr="004F33F2">
        <w:rPr>
          <w:rFonts w:ascii="Arial Narrow" w:hAnsi="Arial Narrow"/>
          <w:b/>
          <w:bCs/>
          <w:sz w:val="20"/>
          <w:szCs w:val="20"/>
        </w:rPr>
        <w:lastRenderedPageBreak/>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lastRenderedPageBreak/>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537746">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537746">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d) jeżeli wybór przedsiębiorstwa, któremu ma zostać powierzone wykonywanie zobowiązań do świadczenia usług publicznych, nie został w danym wypadku dokonany w ramach procedury </w:t>
      </w:r>
      <w:r w:rsidRPr="00067EF2">
        <w:rPr>
          <w:rFonts w:ascii="Arial Narrow" w:hAnsi="Arial Narrow"/>
          <w:b/>
          <w:sz w:val="22"/>
          <w:szCs w:val="18"/>
          <w:lang w:eastAsia="en-US"/>
        </w:rPr>
        <w:lastRenderedPageBreak/>
        <w:t>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 xml:space="preserve">Aby wsparcie stanowiło pomoc publiczną, musi ono, choćby potencjalnie, oddziaływać na handel pomiędzy Państwami Członkowskimi Unii Europejskiej. Pojęcie „handlu” należy rozumieć szeroko </w:t>
      </w:r>
      <w:r w:rsidRPr="004F33F2">
        <w:rPr>
          <w:rFonts w:ascii="Arial Narrow" w:hAnsi="Arial Narrow"/>
          <w:sz w:val="22"/>
          <w:lang w:eastAsia="en-US"/>
        </w:rPr>
        <w:lastRenderedPageBreak/>
        <w:t>–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lastRenderedPageBreak/>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lastRenderedPageBreak/>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r w:rsidRPr="00176DCA">
        <w:rPr>
          <w:rFonts w:ascii="Arial Narrow" w:hAnsi="Arial Narrow"/>
          <w:sz w:val="22"/>
          <w:szCs w:val="22"/>
        </w:rPr>
        <w:lastRenderedPageBreak/>
        <w:t xml:space="preserve">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w:t>
      </w:r>
      <w:r w:rsidRPr="004F33F2">
        <w:rPr>
          <w:rFonts w:ascii="Arial Narrow" w:hAnsi="Arial Narrow"/>
          <w:i/>
          <w:color w:val="000000"/>
          <w:sz w:val="22"/>
          <w:szCs w:val="22"/>
        </w:rPr>
        <w:lastRenderedPageBreak/>
        <w:t xml:space="preserve">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lastRenderedPageBreak/>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B323EF" w:rsidRDefault="00DF48ED" w:rsidP="00537746">
      <w:pPr>
        <w:spacing w:line="276" w:lineRule="auto"/>
        <w:jc w:val="both"/>
        <w:rPr>
          <w:rFonts w:ascii="Arial Narrow" w:hAnsi="Arial Narrow"/>
          <w:sz w:val="22"/>
          <w:szCs w:val="22"/>
        </w:rPr>
      </w:pPr>
      <w:r w:rsidRPr="00B323EF">
        <w:rPr>
          <w:rFonts w:ascii="Arial Narrow" w:hAnsi="Arial Narrow"/>
          <w:sz w:val="22"/>
          <w:szCs w:val="22"/>
        </w:rPr>
        <w:t xml:space="preserve">  </w:t>
      </w:r>
      <w:r w:rsidR="00C5421B" w:rsidRPr="00B323EF">
        <w:rPr>
          <w:rFonts w:ascii="Arial Narrow" w:hAnsi="Arial Narrow"/>
          <w:sz w:val="22"/>
          <w:szCs w:val="22"/>
        </w:rPr>
        <w:t xml:space="preserve">W przypadku </w:t>
      </w:r>
      <w:r w:rsidR="00C5421B" w:rsidRPr="00B323EF">
        <w:rPr>
          <w:rFonts w:ascii="Arial Narrow" w:hAnsi="Arial Narrow"/>
          <w:b/>
          <w:sz w:val="22"/>
          <w:szCs w:val="22"/>
        </w:rPr>
        <w:t>projektu hybrydowego</w:t>
      </w:r>
      <w:r w:rsidR="00C5421B" w:rsidRPr="00B323EF">
        <w:rPr>
          <w:rFonts w:ascii="Arial Narrow" w:hAnsi="Arial Narrow"/>
          <w:sz w:val="22"/>
          <w:szCs w:val="22"/>
        </w:rPr>
        <w:t xml:space="preserve"> należy w ramach załącznika przedłożyć:</w:t>
      </w:r>
    </w:p>
    <w:p w14:paraId="45CD3496" w14:textId="3C125D4D"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Pr="00B323EF"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3812AD50" w14:textId="77777777" w:rsidR="00DF48ED" w:rsidRPr="00B323EF" w:rsidRDefault="00DF48ED" w:rsidP="00537746">
      <w:pPr>
        <w:spacing w:line="276" w:lineRule="auto"/>
        <w:jc w:val="both"/>
        <w:rPr>
          <w:rFonts w:ascii="Arial Narrow" w:hAnsi="Arial Narrow"/>
          <w:sz w:val="22"/>
          <w:szCs w:val="22"/>
        </w:rPr>
      </w:pPr>
      <w:r w:rsidRPr="00B323EF">
        <w:rPr>
          <w:rFonts w:ascii="Arial Narrow" w:hAnsi="Arial Narrow"/>
          <w:b/>
          <w:sz w:val="22"/>
          <w:szCs w:val="22"/>
        </w:rPr>
        <w:t xml:space="preserve">Ad. Załącznik nr 2 - </w:t>
      </w:r>
      <w:r w:rsidRPr="00B323EF">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t>
      </w:r>
      <w:r w:rsidRPr="00B323EF">
        <w:rPr>
          <w:rFonts w:ascii="Arial Narrow" w:hAnsi="Arial Narrow"/>
          <w:sz w:val="22"/>
          <w:szCs w:val="22"/>
        </w:rPr>
        <w:lastRenderedPageBreak/>
        <w:t>wykonania robót budowlanych, lub oświadczenie Wnioskodawcy/partnera, że w terminie 30 dni od dnia doręczenia zgłoszenia zamiaru wykonania robót budowlanych właściwy organ nie wniósł sprzeciwu.</w:t>
      </w: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537746">
      <w:footerReference w:type="default" r:id="rId1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537746" w:rsidRDefault="00537746" w:rsidP="00512F18">
      <w:r>
        <w:separator/>
      </w:r>
    </w:p>
  </w:endnote>
  <w:endnote w:type="continuationSeparator" w:id="0">
    <w:p w14:paraId="12F10DF9" w14:textId="77777777" w:rsidR="00537746" w:rsidRDefault="0053774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A81BBE">
          <w:rPr>
            <w:noProof/>
          </w:rPr>
          <w:t>4</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537746" w:rsidRDefault="00537746" w:rsidP="00512F18">
      <w:r>
        <w:separator/>
      </w:r>
    </w:p>
  </w:footnote>
  <w:footnote w:type="continuationSeparator" w:id="0">
    <w:p w14:paraId="57CF2633" w14:textId="77777777" w:rsidR="00537746" w:rsidRDefault="00537746"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A81BBE"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11F6E"/>
    <w:multiLevelType w:val="hybridMultilevel"/>
    <w:tmpl w:val="2EBEA772"/>
    <w:lvl w:ilvl="0" w:tplc="3014B624">
      <w:start w:val="1"/>
      <w:numFmt w:val="decimal"/>
      <w:lvlText w:val="%1."/>
      <w:lvlJc w:val="left"/>
      <w:pPr>
        <w:tabs>
          <w:tab w:val="num" w:pos="720"/>
        </w:tabs>
        <w:ind w:left="720" w:hanging="360"/>
      </w:pPr>
      <w:rPr>
        <w:b w:val="0"/>
        <w:i w:val="0"/>
        <w:color w:val="auto"/>
      </w:rPr>
    </w:lvl>
    <w:lvl w:ilvl="1" w:tplc="774893C2">
      <w:start w:val="1"/>
      <w:numFmt w:val="decimal"/>
      <w:lvlText w:val="%2."/>
      <w:lvlJc w:val="left"/>
      <w:pPr>
        <w:tabs>
          <w:tab w:val="num" w:pos="502"/>
        </w:tabs>
        <w:ind w:left="502"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4"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5"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7"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8"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1"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2"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3"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4"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5"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7"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9"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2"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3"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4"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9"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40"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5"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6"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8"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50"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2"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7"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8"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2"/>
  </w:num>
  <w:num w:numId="3">
    <w:abstractNumId w:val="53"/>
  </w:num>
  <w:num w:numId="4">
    <w:abstractNumId w:val="85"/>
  </w:num>
  <w:num w:numId="5">
    <w:abstractNumId w:val="9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1"/>
  </w:num>
  <w:num w:numId="10">
    <w:abstractNumId w:val="137"/>
  </w:num>
  <w:num w:numId="11">
    <w:abstractNumId w:val="100"/>
  </w:num>
  <w:num w:numId="12">
    <w:abstractNumId w:val="81"/>
  </w:num>
  <w:num w:numId="13">
    <w:abstractNumId w:val="29"/>
  </w:num>
  <w:num w:numId="14">
    <w:abstractNumId w:val="15"/>
  </w:num>
  <w:num w:numId="15">
    <w:abstractNumId w:val="55"/>
  </w:num>
  <w:num w:numId="16">
    <w:abstractNumId w:val="95"/>
  </w:num>
  <w:num w:numId="17">
    <w:abstractNumId w:val="89"/>
    <w:lvlOverride w:ilvl="0">
      <w:startOverride w:val="1"/>
    </w:lvlOverride>
  </w:num>
  <w:num w:numId="18">
    <w:abstractNumId w:val="89"/>
  </w:num>
  <w:num w:numId="19">
    <w:abstractNumId w:val="35"/>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2"/>
  </w:num>
  <w:num w:numId="30">
    <w:abstractNumId w:val="37"/>
  </w:num>
  <w:num w:numId="31">
    <w:abstractNumId w:val="73"/>
  </w:num>
  <w:num w:numId="32">
    <w:abstractNumId w:val="143"/>
  </w:num>
  <w:num w:numId="33">
    <w:abstractNumId w:val="64"/>
  </w:num>
  <w:num w:numId="34">
    <w:abstractNumId w:val="123"/>
  </w:num>
  <w:num w:numId="35">
    <w:abstractNumId w:val="84"/>
  </w:num>
  <w:num w:numId="36">
    <w:abstractNumId w:val="62"/>
  </w:num>
  <w:num w:numId="37">
    <w:abstractNumId w:val="140"/>
  </w:num>
  <w:num w:numId="38">
    <w:abstractNumId w:val="80"/>
  </w:num>
  <w:num w:numId="39">
    <w:abstractNumId w:val="13"/>
  </w:num>
  <w:num w:numId="40">
    <w:abstractNumId w:val="83"/>
  </w:num>
  <w:num w:numId="41">
    <w:abstractNumId w:val="128"/>
  </w:num>
  <w:num w:numId="42">
    <w:abstractNumId w:val="44"/>
  </w:num>
  <w:num w:numId="43">
    <w:abstractNumId w:val="99"/>
  </w:num>
  <w:num w:numId="44">
    <w:abstractNumId w:val="108"/>
  </w:num>
  <w:num w:numId="45">
    <w:abstractNumId w:val="2"/>
  </w:num>
  <w:num w:numId="46">
    <w:abstractNumId w:val="3"/>
  </w:num>
  <w:num w:numId="47">
    <w:abstractNumId w:val="21"/>
  </w:num>
  <w:num w:numId="48">
    <w:abstractNumId w:val="144"/>
  </w:num>
  <w:num w:numId="49">
    <w:abstractNumId w:val="112"/>
  </w:num>
  <w:num w:numId="50">
    <w:abstractNumId w:val="47"/>
  </w:num>
  <w:num w:numId="51">
    <w:abstractNumId w:val="39"/>
  </w:num>
  <w:num w:numId="52">
    <w:abstractNumId w:val="122"/>
  </w:num>
  <w:num w:numId="53">
    <w:abstractNumId w:val="5"/>
  </w:num>
  <w:num w:numId="54">
    <w:abstractNumId w:val="38"/>
  </w:num>
  <w:num w:numId="55">
    <w:abstractNumId w:val="111"/>
  </w:num>
  <w:num w:numId="56">
    <w:abstractNumId w:val="125"/>
  </w:num>
  <w:num w:numId="57">
    <w:abstractNumId w:val="105"/>
  </w:num>
  <w:num w:numId="58">
    <w:abstractNumId w:val="22"/>
  </w:num>
  <w:num w:numId="59">
    <w:abstractNumId w:val="98"/>
  </w:num>
  <w:num w:numId="60">
    <w:abstractNumId w:val="54"/>
  </w:num>
  <w:num w:numId="61">
    <w:abstractNumId w:val="74"/>
  </w:num>
  <w:num w:numId="62">
    <w:abstractNumId w:val="133"/>
  </w:num>
  <w:num w:numId="63">
    <w:abstractNumId w:val="138"/>
  </w:num>
  <w:num w:numId="64">
    <w:abstractNumId w:val="71"/>
  </w:num>
  <w:num w:numId="65">
    <w:abstractNumId w:val="102"/>
  </w:num>
  <w:num w:numId="66">
    <w:abstractNumId w:val="33"/>
  </w:num>
  <w:num w:numId="67">
    <w:abstractNumId w:val="146"/>
  </w:num>
  <w:num w:numId="68">
    <w:abstractNumId w:val="127"/>
  </w:num>
  <w:num w:numId="69">
    <w:abstractNumId w:val="70"/>
  </w:num>
  <w:num w:numId="70">
    <w:abstractNumId w:val="24"/>
  </w:num>
  <w:num w:numId="71">
    <w:abstractNumId w:val="17"/>
  </w:num>
  <w:num w:numId="72">
    <w:abstractNumId w:val="50"/>
  </w:num>
  <w:num w:numId="73">
    <w:abstractNumId w:val="45"/>
  </w:num>
  <w:num w:numId="74">
    <w:abstractNumId w:val="4"/>
  </w:num>
  <w:num w:numId="75">
    <w:abstractNumId w:val="117"/>
  </w:num>
  <w:num w:numId="76">
    <w:abstractNumId w:val="48"/>
  </w:num>
  <w:num w:numId="77">
    <w:abstractNumId w:val="87"/>
  </w:num>
  <w:num w:numId="78">
    <w:abstractNumId w:val="66"/>
  </w:num>
  <w:num w:numId="79">
    <w:abstractNumId w:val="57"/>
  </w:num>
  <w:num w:numId="80">
    <w:abstractNumId w:val="63"/>
  </w:num>
  <w:num w:numId="81">
    <w:abstractNumId w:val="23"/>
  </w:num>
  <w:num w:numId="82">
    <w:abstractNumId w:val="114"/>
  </w:num>
  <w:num w:numId="83">
    <w:abstractNumId w:val="121"/>
  </w:num>
  <w:num w:numId="84">
    <w:abstractNumId w:val="107"/>
  </w:num>
  <w:num w:numId="85">
    <w:abstractNumId w:val="116"/>
  </w:num>
  <w:num w:numId="86">
    <w:abstractNumId w:val="129"/>
  </w:num>
  <w:num w:numId="87">
    <w:abstractNumId w:val="134"/>
  </w:num>
  <w:num w:numId="88">
    <w:abstractNumId w:val="82"/>
  </w:num>
  <w:num w:numId="89">
    <w:abstractNumId w:val="31"/>
  </w:num>
  <w:num w:numId="90">
    <w:abstractNumId w:val="67"/>
  </w:num>
  <w:num w:numId="91">
    <w:abstractNumId w:val="104"/>
  </w:num>
  <w:num w:numId="92">
    <w:abstractNumId w:val="49"/>
  </w:num>
  <w:num w:numId="93">
    <w:abstractNumId w:val="130"/>
  </w:num>
  <w:num w:numId="94">
    <w:abstractNumId w:val="75"/>
  </w:num>
  <w:num w:numId="95">
    <w:abstractNumId w:val="40"/>
  </w:num>
  <w:num w:numId="96">
    <w:abstractNumId w:val="79"/>
  </w:num>
  <w:num w:numId="97">
    <w:abstractNumId w:val="20"/>
  </w:num>
  <w:num w:numId="98">
    <w:abstractNumId w:val="106"/>
  </w:num>
  <w:num w:numId="99">
    <w:abstractNumId w:val="141"/>
  </w:num>
  <w:num w:numId="100">
    <w:abstractNumId w:val="51"/>
  </w:num>
  <w:num w:numId="101">
    <w:abstractNumId w:val="1"/>
  </w:num>
  <w:num w:numId="102">
    <w:abstractNumId w:val="136"/>
  </w:num>
  <w:num w:numId="103">
    <w:abstractNumId w:val="101"/>
  </w:num>
  <w:num w:numId="104">
    <w:abstractNumId w:val="131"/>
  </w:num>
  <w:num w:numId="105">
    <w:abstractNumId w:val="14"/>
  </w:num>
  <w:num w:numId="106">
    <w:abstractNumId w:val="6"/>
  </w:num>
  <w:num w:numId="107">
    <w:abstractNumId w:val="88"/>
  </w:num>
  <w:num w:numId="108">
    <w:abstractNumId w:val="34"/>
  </w:num>
  <w:num w:numId="109">
    <w:abstractNumId w:val="26"/>
  </w:num>
  <w:num w:numId="110">
    <w:abstractNumId w:val="61"/>
  </w:num>
  <w:num w:numId="111">
    <w:abstractNumId w:val="72"/>
  </w:num>
  <w:num w:numId="112">
    <w:abstractNumId w:val="52"/>
  </w:num>
  <w:num w:numId="113">
    <w:abstractNumId w:val="86"/>
  </w:num>
  <w:num w:numId="114">
    <w:abstractNumId w:val="119"/>
  </w:num>
  <w:num w:numId="115">
    <w:abstractNumId w:val="16"/>
  </w:num>
  <w:num w:numId="116">
    <w:abstractNumId w:val="32"/>
  </w:num>
  <w:num w:numId="117">
    <w:abstractNumId w:val="18"/>
  </w:num>
  <w:num w:numId="118">
    <w:abstractNumId w:val="110"/>
  </w:num>
  <w:num w:numId="119">
    <w:abstractNumId w:val="68"/>
  </w:num>
  <w:num w:numId="120">
    <w:abstractNumId w:val="142"/>
  </w:num>
  <w:num w:numId="121">
    <w:abstractNumId w:val="10"/>
  </w:num>
  <w:num w:numId="122">
    <w:abstractNumId w:val="65"/>
  </w:num>
  <w:num w:numId="123">
    <w:abstractNumId w:val="28"/>
  </w:num>
  <w:num w:numId="124">
    <w:abstractNumId w:val="135"/>
  </w:num>
  <w:num w:numId="125">
    <w:abstractNumId w:val="25"/>
  </w:num>
  <w:num w:numId="126">
    <w:abstractNumId w:val="56"/>
  </w:num>
  <w:num w:numId="127">
    <w:abstractNumId w:val="113"/>
  </w:num>
  <w:num w:numId="128">
    <w:abstractNumId w:val="43"/>
  </w:num>
  <w:num w:numId="129">
    <w:abstractNumId w:val="126"/>
  </w:num>
  <w:num w:numId="130">
    <w:abstractNumId w:val="27"/>
  </w:num>
  <w:num w:numId="131">
    <w:abstractNumId w:val="76"/>
  </w:num>
  <w:num w:numId="132">
    <w:abstractNumId w:val="46"/>
  </w:num>
  <w:num w:numId="133">
    <w:abstractNumId w:val="41"/>
  </w:num>
  <w:num w:numId="134">
    <w:abstractNumId w:val="30"/>
  </w:num>
  <w:num w:numId="135">
    <w:abstractNumId w:val="59"/>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num>
  <w:num w:numId="142">
    <w:abstractNumId w:val="96"/>
  </w:num>
  <w:num w:numId="143">
    <w:abstractNumId w:val="103"/>
  </w:num>
  <w:num w:numId="144">
    <w:abstractNumId w:val="109"/>
  </w:num>
  <w:num w:numId="145">
    <w:abstractNumId w:val="145"/>
  </w:num>
  <w:num w:numId="146">
    <w:abstractNumId w:val="120"/>
  </w:num>
  <w:num w:numId="147">
    <w:abstractNumId w:val="12"/>
  </w:num>
  <w:num w:numId="148">
    <w:abstractNumId w:val="58"/>
  </w:num>
  <w:num w:numId="149">
    <w:abstractNumId w:val="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B715-13CC-4749-861F-3F351F56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26028</Words>
  <Characters>177535</Characters>
  <Application>Microsoft Office Word</Application>
  <DocSecurity>0</DocSecurity>
  <Lines>1479</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Adamczewska</cp:lastModifiedBy>
  <cp:revision>3</cp:revision>
  <cp:lastPrinted>2017-03-28T15:30:00Z</cp:lastPrinted>
  <dcterms:created xsi:type="dcterms:W3CDTF">2017-03-28T15:32:00Z</dcterms:created>
  <dcterms:modified xsi:type="dcterms:W3CDTF">2017-03-30T07:22:00Z</dcterms:modified>
</cp:coreProperties>
</file>