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142853"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Pr>
          <w:rFonts w:ascii="Arial" w:hAnsi="Arial" w:cs="Arial"/>
          <w:noProof/>
          <w:lang w:eastAsia="pl-PL"/>
        </w:rPr>
        <w:drawing>
          <wp:inline distT="0" distB="0" distL="0" distR="0" wp14:anchorId="232190F1" wp14:editId="59C222C0">
            <wp:extent cx="5924550" cy="657225"/>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65722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1F6232">
        <w:rPr>
          <w:rFonts w:ascii="Arial Narrow" w:eastAsia="Times New Roman" w:hAnsi="Arial Narrow" w:cs="Arial"/>
          <w:b/>
          <w:lang w:eastAsia="pl-PL"/>
        </w:rPr>
        <w:t>III</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90"/>
        <w:gridCol w:w="7448"/>
        <w:gridCol w:w="3188"/>
      </w:tblGrid>
      <w:tr w:rsidR="002356E9" w:rsidRPr="00FC147A" w:rsidTr="00163E65">
        <w:trPr>
          <w:trHeight w:val="413"/>
        </w:trPr>
        <w:tc>
          <w:tcPr>
            <w:tcW w:w="56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69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448"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188"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lub partner (jeśli dotyczy) jest uprawniony do ubiegania się o uzyskanie dofinansowania w ramach danego działania lub poddziałania Szczegółowego opisu osi priorytetowych RPO WŁ na  lata  2014-2020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448" w:type="dxa"/>
            <w:vAlign w:val="center"/>
          </w:tcPr>
          <w:p w:rsidR="001F6232" w:rsidRDefault="001F6232" w:rsidP="00F6317F">
            <w:pPr>
              <w:spacing w:after="0" w:line="240" w:lineRule="auto"/>
              <w:jc w:val="both"/>
              <w:rPr>
                <w:rFonts w:ascii="Arial Narrow" w:eastAsia="Calibri" w:hAnsi="Arial Narrow" w:cs="Arial"/>
                <w:color w:val="000000"/>
                <w:sz w:val="20"/>
                <w:szCs w:val="20"/>
                <w:lang w:eastAsia="pl-PL"/>
              </w:rPr>
            </w:pPr>
            <w:r w:rsidRPr="001F6232">
              <w:rPr>
                <w:rFonts w:ascii="Arial Narrow" w:eastAsia="Calibri" w:hAnsi="Arial Narrow" w:cs="Arial"/>
                <w:color w:val="000000"/>
                <w:sz w:val="20"/>
                <w:szCs w:val="20"/>
                <w:lang w:eastAsia="pl-PL"/>
              </w:rPr>
              <w:t xml:space="preserve">W  ramach  kryterium  ocenie  podlegać  będzie,  czy  wnioskodawca  (partner)  nie  podlega  wykluczeniu  z ubiegania  się  o  dofinansowanie  i  nie  orzeczono  wobec  niego  zakazu  dostępu  do  środków  funduszy europejskich na podstawie: </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207 ust. 4 ustawy z dnia 27 sierpnia 2009 r. o finansach publicznych;</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12  ust.  1  pkt  1 ustawy  z  dnia  15  czerwca  2012  r.  o  skutkach  powierzania  wykonywania  pracy cudzoziemcom przebywającym wbrew przepisom</w:t>
            </w:r>
            <w:r>
              <w:rPr>
                <w:rFonts w:ascii="Arial Narrow" w:hAnsi="Arial Narrow" w:cs="Arial"/>
                <w:color w:val="000000"/>
                <w:sz w:val="20"/>
                <w:szCs w:val="20"/>
                <w:lang w:val="pl-PL" w:eastAsia="pl-PL"/>
              </w:rPr>
              <w:t xml:space="preserve"> </w:t>
            </w:r>
            <w:r w:rsidRPr="001F6232">
              <w:rPr>
                <w:rFonts w:ascii="Arial Narrow" w:hAnsi="Arial Narrow" w:cs="Arial"/>
                <w:color w:val="000000"/>
                <w:sz w:val="20"/>
                <w:szCs w:val="20"/>
                <w:lang w:eastAsia="pl-PL"/>
              </w:rPr>
              <w:t xml:space="preserve">na terytorium Rzeczypospolitej Polskiej; </w:t>
            </w:r>
          </w:p>
          <w:p w:rsidR="002356E9"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 xml:space="preserve">art. 9 ust. 1 pkt 2a ustawy z dnia 28 października 2002 r. o odpowiedzialności podmiotów zbiorowych za czyny zabronione pod groźbą kary.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 xml:space="preserve">h </w:t>
            </w:r>
            <w:r w:rsidR="003208F4">
              <w:rPr>
                <w:rFonts w:ascii="Arial Narrow" w:eastAsia="Times New Roman" w:hAnsi="Arial Narrow" w:cs="Arial"/>
                <w:sz w:val="20"/>
                <w:szCs w:val="20"/>
                <w:lang w:eastAsia="pl-PL"/>
              </w:rPr>
              <w:lastRenderedPageBreak/>
              <w:t>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448" w:type="dxa"/>
            <w:vAlign w:val="center"/>
          </w:tcPr>
          <w:p w:rsidR="002356E9" w:rsidRPr="00FC147A" w:rsidRDefault="001F6232" w:rsidP="001F6232">
            <w:pPr>
              <w:pStyle w:val="Default"/>
              <w:jc w:val="both"/>
              <w:rPr>
                <w:rFonts w:ascii="Arial Narrow" w:hAnsi="Arial Narrow"/>
                <w:sz w:val="20"/>
                <w:szCs w:val="20"/>
              </w:rPr>
            </w:pPr>
            <w:r w:rsidRPr="001F6232">
              <w:rPr>
                <w:rFonts w:ascii="Arial Narrow" w:hAnsi="Arial Narrow"/>
                <w:sz w:val="20"/>
                <w:szCs w:val="20"/>
              </w:rPr>
              <w:lastRenderedPageBreak/>
              <w:t>W  ramach  kryterium  ocenie  podlegać  będzie,  czy  wnioskodawca  (partner)  nie  podlega  wykluczeniu  z ubiegania  się  o</w:t>
            </w:r>
            <w:r>
              <w:rPr>
                <w:rFonts w:ascii="Arial Narrow" w:hAnsi="Arial Narrow"/>
                <w:sz w:val="20"/>
                <w:szCs w:val="20"/>
              </w:rPr>
              <w:t xml:space="preserve"> </w:t>
            </w:r>
            <w:r w:rsidRPr="001F6232">
              <w:rPr>
                <w:rFonts w:ascii="Arial Narrow" w:hAnsi="Arial Narrow"/>
                <w:sz w:val="20"/>
                <w:szCs w:val="20"/>
              </w:rPr>
              <w:t xml:space="preserve">dofinansowanie  na  podstawie  kryteriów  określonych  w  odpowiednich  rozporządzeniach dotyczących udzielania pomocy publicznej –ocena tego warunku dotyczy podmiotów, w przypadku których wsparcie w ramach RPO WŁ na lata 2014-2020 </w:t>
            </w:r>
            <w:r w:rsidRPr="001F6232">
              <w:rPr>
                <w:rFonts w:ascii="Arial Narrow" w:hAnsi="Arial Narrow"/>
                <w:sz w:val="20"/>
                <w:szCs w:val="20"/>
              </w:rPr>
              <w:lastRenderedPageBreak/>
              <w:t>przekazywane jest na podstawie rozporządzeń dotyczących udzielania pomocy publicznej lub pomocy de minimis</w:t>
            </w:r>
            <w:r>
              <w:rPr>
                <w:rFonts w:ascii="Arial Narrow" w:hAnsi="Arial Narrow"/>
                <w:sz w:val="20"/>
                <w:szCs w:val="20"/>
              </w:rPr>
              <w:t>.</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(partner)  nie  jest  przedsiębiorstwem  w trudnej  sytuacji  w  rozumieniu  unijnych  przepisów  dotyczących  pomocy  publicznej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definicja przedsiębiorstwa znajdującego się w trudnej sytuacji zamieszczona jest w pkt 24 Wytycznych dotyczących pomocy państwa na ratowanie i restrukturyzację przedsiębiorstw niefinansowych znajdujących się w trudnej sytuacji(2014/C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108Traktatu –definicja zawarta jest w art. 2 pkt. 18 Rozporządzenia Nr 651/2014.Weryfikacja dokonywana będzie na podstawie oświadczenia składanego przez Wnioskodawcę(partnera).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448" w:type="dxa"/>
            <w:vAlign w:val="center"/>
          </w:tcPr>
          <w:p w:rsidR="003E2B19" w:rsidRDefault="003E2B19" w:rsidP="00CB461F">
            <w:pPr>
              <w:pStyle w:val="Default"/>
              <w:jc w:val="both"/>
              <w:rPr>
                <w:rFonts w:ascii="Arial Narrow" w:hAnsi="Arial Narrow"/>
                <w:sz w:val="20"/>
                <w:szCs w:val="20"/>
              </w:rPr>
            </w:pPr>
            <w:r w:rsidRPr="003E2B19">
              <w:rPr>
                <w:rFonts w:ascii="Arial Narrow"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 przypadku, gdy w związku z wystąpieniem epidemii COVID-19 w 2020 r. Wnioskodawca (partner) skorzysta z instrumentów wsparcia w ramach pakietu ustaw składających się na tzw. „Tarczę antykryzysową”, w zakresie zwolnienia czy przesunięcia terminów uiszczania danin publicznych, np.:</w:t>
            </w:r>
          </w:p>
          <w:p w:rsidR="003E2B19" w:rsidRDefault="003E2B19" w:rsidP="00CB461F">
            <w:pPr>
              <w:pStyle w:val="Default"/>
              <w:jc w:val="both"/>
              <w:rPr>
                <w:rFonts w:ascii="Arial Narrow" w:hAnsi="Arial Narrow"/>
                <w:sz w:val="20"/>
                <w:szCs w:val="20"/>
              </w:rPr>
            </w:pPr>
            <w:r w:rsidRPr="003E2B19">
              <w:rPr>
                <w:rFonts w:ascii="Arial Narrow" w:hAnsi="Arial Narrow"/>
                <w:sz w:val="20"/>
                <w:szCs w:val="20"/>
              </w:rPr>
              <w:t xml:space="preserve"> </w:t>
            </w:r>
            <w:r w:rsidRPr="003E2B19">
              <w:rPr>
                <w:rFonts w:ascii="Arial Narrow" w:hAnsi="Arial Narrow"/>
                <w:sz w:val="20"/>
                <w:szCs w:val="20"/>
              </w:rPr>
              <w:t> zwolnienie ze składek ZUS;</w:t>
            </w:r>
          </w:p>
          <w:p w:rsidR="003E2B19" w:rsidRDefault="003E2B19" w:rsidP="00CB461F">
            <w:pPr>
              <w:pStyle w:val="Default"/>
              <w:jc w:val="both"/>
              <w:rPr>
                <w:rFonts w:ascii="Arial Narrow" w:hAnsi="Arial Narrow"/>
                <w:sz w:val="20"/>
                <w:szCs w:val="20"/>
              </w:rPr>
            </w:pPr>
            <w:r w:rsidRPr="003E2B19">
              <w:rPr>
                <w:rFonts w:ascii="Arial Narrow" w:hAnsi="Arial Narrow"/>
                <w:sz w:val="20"/>
                <w:szCs w:val="20"/>
              </w:rPr>
              <w:t xml:space="preserve"> </w:t>
            </w:r>
            <w:r w:rsidRPr="003E2B19">
              <w:rPr>
                <w:rFonts w:ascii="Arial Narrow" w:hAnsi="Arial Narrow"/>
                <w:sz w:val="20"/>
                <w:szCs w:val="20"/>
              </w:rPr>
              <w:t xml:space="preserve"> odroczenie terminu płatności lub rozłożenie na raty należności ZUS; </w:t>
            </w:r>
            <w:r w:rsidRPr="003E2B19">
              <w:rPr>
                <w:rFonts w:ascii="Arial Narrow" w:hAnsi="Arial Narrow"/>
                <w:sz w:val="20"/>
                <w:szCs w:val="20"/>
              </w:rPr>
              <w:t xml:space="preserve"> umorzenie całości lub części zaległości podatkowej; </w:t>
            </w:r>
          </w:p>
          <w:p w:rsidR="002356E9" w:rsidRPr="00FC147A" w:rsidRDefault="003E2B19" w:rsidP="00CB461F">
            <w:pPr>
              <w:pStyle w:val="Default"/>
              <w:jc w:val="both"/>
              <w:rPr>
                <w:rFonts w:ascii="Arial Narrow" w:hAnsi="Arial Narrow"/>
                <w:sz w:val="20"/>
                <w:szCs w:val="20"/>
              </w:rPr>
            </w:pPr>
            <w:r w:rsidRPr="003E2B19">
              <w:rPr>
                <w:rFonts w:ascii="Arial Narrow" w:hAnsi="Arial Narrow"/>
                <w:sz w:val="20"/>
                <w:szCs w:val="20"/>
              </w:rPr>
              <w:t> odroczenie terminu zapłaty zaliczek na podatek od wypłacanych wynagrodzeń, złożenie do właściwego organu wniosku o ulgę jest uznawane jako spełnienie wymogu niezalegania z uiszczaniem należności. Weryfikacja dokonywana będzie na podstawie oświadczenia składanego przez Wnioskodawcę (partnera).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690"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448" w:type="dxa"/>
            <w:vAlign w:val="center"/>
          </w:tcPr>
          <w:p w:rsidR="002356E9" w:rsidRPr="00FC147A" w:rsidRDefault="001F6232" w:rsidP="006F5C28">
            <w:pPr>
              <w:spacing w:after="0" w:line="240" w:lineRule="auto"/>
              <w:jc w:val="both"/>
              <w:rPr>
                <w:rFonts w:ascii="Arial Narrow" w:hAnsi="Arial Narrow"/>
                <w:sz w:val="20"/>
                <w:szCs w:val="20"/>
              </w:rPr>
            </w:pPr>
            <w:r w:rsidRPr="001F6232">
              <w:rPr>
                <w:rFonts w:ascii="Arial Narrow" w:eastAsia="Calibri" w:hAnsi="Arial Narrow" w:cs="Arial"/>
                <w:color w:val="000000"/>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163E65">
        <w:trPr>
          <w:trHeight w:val="553"/>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448" w:type="dxa"/>
            <w:vAlign w:val="center"/>
          </w:tcPr>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W ramach kryterium wstępnej ocenie podlegać będzie</w:t>
            </w:r>
            <w:r w:rsidR="006100CE">
              <w:rPr>
                <w:rFonts w:ascii="Arial Narrow" w:eastAsia="Calibri" w:hAnsi="Arial Narrow" w:cs="Arial"/>
                <w:color w:val="000000"/>
                <w:sz w:val="20"/>
                <w:szCs w:val="20"/>
                <w:lang w:eastAsia="pl-PL"/>
              </w:rPr>
              <w:t xml:space="preserve"> </w:t>
            </w:r>
            <w:r w:rsidRPr="00BD7121">
              <w:rPr>
                <w:rFonts w:ascii="Arial Narrow" w:eastAsia="Calibri" w:hAnsi="Arial Narrow" w:cs="Arial"/>
                <w:color w:val="000000"/>
                <w:sz w:val="20"/>
                <w:szCs w:val="20"/>
                <w:lang w:eastAsia="pl-PL"/>
              </w:rPr>
              <w:t>zgodność inwestycji z typem projektu zapisanym:</w:t>
            </w:r>
          </w:p>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w:t>
            </w:r>
            <w:r>
              <w:rPr>
                <w:rFonts w:ascii="Arial Narrow" w:eastAsia="Calibri" w:hAnsi="Arial Narrow" w:cs="Arial"/>
                <w:color w:val="000000"/>
                <w:sz w:val="20"/>
                <w:szCs w:val="20"/>
                <w:lang w:eastAsia="pl-PL"/>
              </w:rPr>
              <w:t xml:space="preserve"> </w:t>
            </w:r>
            <w:r w:rsidRPr="00BD7121">
              <w:rPr>
                <w:rFonts w:ascii="Arial Narrow" w:eastAsia="Calibri" w:hAnsi="Arial Narrow" w:cs="Arial"/>
                <w:color w:val="000000"/>
                <w:sz w:val="20"/>
                <w:szCs w:val="20"/>
                <w:lang w:eastAsia="pl-PL"/>
              </w:rPr>
              <w:t xml:space="preserve">w przypadku trybu konkursowego -w Regulaminie konkursu (typ projektu zapisany w Regulaminie musi być  zgodny  i  wynikać  ze  Szczegółowego  opisu  osi  priorytetowych  RPO  WŁ  na  lata  2014-2020, określonego w Regulaminie konkursu), </w:t>
            </w:r>
          </w:p>
          <w:p w:rsidR="00263F44" w:rsidRPr="00FC147A" w:rsidRDefault="00263F44" w:rsidP="008C5AB8">
            <w:pPr>
              <w:spacing w:after="0" w:line="240" w:lineRule="auto"/>
              <w:rPr>
                <w:rFonts w:ascii="Arial Narrow" w:eastAsia="Times New Roman" w:hAnsi="Arial Narrow" w:cs="Arial"/>
                <w:sz w:val="20"/>
                <w:szCs w:val="20"/>
                <w:lang w:eastAsia="pl-PL"/>
              </w:rPr>
            </w:pPr>
          </w:p>
        </w:tc>
        <w:tc>
          <w:tcPr>
            <w:tcW w:w="3188" w:type="dxa"/>
            <w:vAlign w:val="center"/>
          </w:tcPr>
          <w:p w:rsidR="00163E65" w:rsidRPr="00163E65" w:rsidRDefault="00163E65" w:rsidP="00163E65">
            <w:pPr>
              <w:pStyle w:val="Default"/>
              <w:rPr>
                <w:rFonts w:ascii="Arial Narrow" w:hAnsi="Arial Narrow"/>
                <w:sz w:val="20"/>
                <w:szCs w:val="20"/>
              </w:rPr>
            </w:pPr>
            <w:r w:rsidRPr="00163E65">
              <w:rPr>
                <w:rFonts w:ascii="Arial Narrow" w:hAnsi="Arial Narrow"/>
                <w:sz w:val="20"/>
                <w:szCs w:val="20"/>
              </w:rPr>
              <w:t xml:space="preserve">Tak / nie </w:t>
            </w:r>
          </w:p>
          <w:p w:rsidR="002356E9" w:rsidRPr="00FC147A" w:rsidRDefault="00163E65" w:rsidP="00163E65">
            <w:pPr>
              <w:spacing w:after="0" w:line="240" w:lineRule="auto"/>
              <w:rPr>
                <w:rFonts w:ascii="Arial Narrow" w:hAnsi="Arial Narrow"/>
                <w:sz w:val="20"/>
                <w:szCs w:val="20"/>
              </w:rPr>
            </w:pPr>
            <w:r w:rsidRPr="00163E65">
              <w:rPr>
                <w:rFonts w:ascii="Arial Narrow" w:hAnsi="Arial Narrow"/>
                <w:sz w:val="20"/>
                <w:szCs w:val="20"/>
              </w:rPr>
              <w:t>(niespełnienie skutkować będzie negatywną oceną wniosku.</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8</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448"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448" w:type="dxa"/>
            <w:vAlign w:val="center"/>
          </w:tcPr>
          <w:p w:rsidR="002356E9" w:rsidRPr="00FC147A" w:rsidRDefault="001F6232" w:rsidP="00072056">
            <w:pPr>
              <w:spacing w:after="0"/>
              <w:jc w:val="both"/>
              <w:rPr>
                <w:rFonts w:ascii="Arial Narrow" w:hAnsi="Arial Narrow" w:cs="Tahoma"/>
                <w:sz w:val="20"/>
                <w:szCs w:val="20"/>
              </w:rPr>
            </w:pPr>
            <w:r w:rsidRPr="001F6232">
              <w:rPr>
                <w:rFonts w:ascii="Arial Narrow" w:eastAsia="Calibri" w:hAnsi="Arial Narrow" w:cs="Arial"/>
                <w:color w:val="000000"/>
                <w:sz w:val="20"/>
                <w:szCs w:val="20"/>
                <w:lang w:eastAsia="pl-PL"/>
              </w:rPr>
              <w:t>Czy projekt będzie realizowany w granicach administ</w:t>
            </w:r>
            <w:r>
              <w:rPr>
                <w:rFonts w:ascii="Arial Narrow" w:eastAsia="Calibri" w:hAnsi="Arial Narrow" w:cs="Arial"/>
                <w:color w:val="000000"/>
                <w:sz w:val="20"/>
                <w:szCs w:val="20"/>
                <w:lang w:eastAsia="pl-PL"/>
              </w:rPr>
              <w:t xml:space="preserve">racyjnych województwa łódzkiego? </w:t>
            </w:r>
            <w:r w:rsidRPr="001F6232">
              <w:rPr>
                <w:rFonts w:ascii="Arial Narrow" w:eastAsia="Calibri" w:hAnsi="Arial Narrow" w:cs="Arial"/>
                <w:color w:val="000000"/>
                <w:sz w:val="20"/>
                <w:szCs w:val="20"/>
                <w:lang w:eastAsia="pl-PL"/>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obligatoryjne do wniosku)</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rPr>
          <w:trHeight w:val="1428"/>
        </w:trPr>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0</w:t>
            </w:r>
          </w:p>
        </w:tc>
        <w:tc>
          <w:tcPr>
            <w:tcW w:w="2690" w:type="dxa"/>
            <w:vAlign w:val="center"/>
          </w:tcPr>
          <w:p w:rsidR="002356E9" w:rsidRPr="00FC147A" w:rsidDel="00116F82" w:rsidRDefault="003E3FE6" w:rsidP="00F6317F">
            <w:pPr>
              <w:pStyle w:val="Default"/>
              <w:rPr>
                <w:rFonts w:ascii="Arial Narrow" w:hAnsi="Arial Narrow"/>
                <w:sz w:val="20"/>
                <w:szCs w:val="20"/>
              </w:rPr>
            </w:pPr>
            <w:r w:rsidRPr="003E3FE6">
              <w:rPr>
                <w:rFonts w:ascii="Arial Narrow" w:hAnsi="Arial Narrow"/>
                <w:sz w:val="20"/>
                <w:szCs w:val="20"/>
              </w:rPr>
              <w:t>Realizacja projektu zakończy się do 30.06.2023 r. (dotyczy trybu konkursowego)</w:t>
            </w:r>
          </w:p>
        </w:tc>
        <w:tc>
          <w:tcPr>
            <w:tcW w:w="7448" w:type="dxa"/>
            <w:vAlign w:val="center"/>
          </w:tcPr>
          <w:p w:rsidR="000F1A0A" w:rsidRDefault="003E3FE6" w:rsidP="003E3FE6">
            <w:pPr>
              <w:pStyle w:val="Default"/>
              <w:jc w:val="both"/>
              <w:rPr>
                <w:rFonts w:ascii="Arial Narrow" w:hAnsi="Arial Narrow" w:cs="Tahoma"/>
                <w:sz w:val="20"/>
                <w:szCs w:val="20"/>
              </w:rPr>
            </w:pPr>
            <w:r w:rsidRPr="003E3FE6">
              <w:rPr>
                <w:rFonts w:ascii="Arial Narrow" w:hAnsi="Arial Narrow" w:cs="Tahoma"/>
                <w:sz w:val="20"/>
                <w:szCs w:val="20"/>
              </w:rPr>
              <w:t>W ramach kryterium ocenie podlegać będzie, czy planowana we wniosku o dofinansowanie data zakończenia realizacji projektu nie przekracza 30 czerwca 2023 r. Na etapie realizacji projektu za zgodą IZ RPO WŁ termin ten może zostać wydłużony (z uwzględnieniem końcowej daty kwalifikowalności wydatków w programie tj. 31 grudnia 2023 r.) w następujących przypadkach:</w:t>
            </w:r>
          </w:p>
          <w:p w:rsidR="000F1A0A" w:rsidRDefault="003E3FE6" w:rsidP="003E3FE6">
            <w:pPr>
              <w:pStyle w:val="Default"/>
              <w:jc w:val="both"/>
              <w:rPr>
                <w:rFonts w:ascii="Arial Narrow" w:hAnsi="Arial Narrow" w:cs="Tahoma"/>
                <w:sz w:val="20"/>
                <w:szCs w:val="20"/>
              </w:rPr>
            </w:pPr>
            <w:r w:rsidRPr="003E3FE6">
              <w:rPr>
                <w:rFonts w:ascii="Arial Narrow" w:hAnsi="Arial Narrow" w:cs="Tahoma"/>
                <w:sz w:val="20"/>
                <w:szCs w:val="20"/>
              </w:rPr>
              <w:t xml:space="preserve"> 1) wystąpienia siły wyższej,  Siłą wyższą jest zdarzenie o charakterze przypadkowym lub naturalnym: a) zewnętrzne – mające swe źródło poza podmiotem, odpowiedzialnym za realizację projektu, b) niemożliwe do przewidzenia lub o małym stopniu prawdopodobieństwa jego pojawienia się w określonej sytuacji w świetle obiektywnej oceny wydarzeń, c) niemożliwe do zapobieżenia – nie tyle samemu zjawisku, ale szkodliwym jego następstwom przy zastosowaniu współczesnej techniki. </w:t>
            </w:r>
          </w:p>
          <w:p w:rsidR="000F1A0A" w:rsidRDefault="003E3FE6" w:rsidP="003E3FE6">
            <w:pPr>
              <w:pStyle w:val="Default"/>
              <w:jc w:val="both"/>
              <w:rPr>
                <w:rFonts w:ascii="Arial Narrow" w:hAnsi="Arial Narrow" w:cs="Tahoma"/>
                <w:sz w:val="20"/>
                <w:szCs w:val="20"/>
              </w:rPr>
            </w:pPr>
            <w:r w:rsidRPr="003E3FE6">
              <w:rPr>
                <w:rFonts w:ascii="Arial Narrow" w:hAnsi="Arial Narrow" w:cs="Tahoma"/>
                <w:sz w:val="20"/>
                <w:szCs w:val="20"/>
              </w:rPr>
              <w:t>2)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rsidR="000F1A0A" w:rsidRDefault="003E3FE6" w:rsidP="003E3FE6">
            <w:pPr>
              <w:pStyle w:val="Default"/>
              <w:jc w:val="both"/>
              <w:rPr>
                <w:rFonts w:ascii="Arial Narrow" w:hAnsi="Arial Narrow" w:cs="Tahoma"/>
                <w:sz w:val="20"/>
                <w:szCs w:val="20"/>
              </w:rPr>
            </w:pPr>
            <w:r w:rsidRPr="003E3FE6">
              <w:rPr>
                <w:rFonts w:ascii="Arial Narrow" w:hAnsi="Arial Narrow" w:cs="Tahoma"/>
                <w:sz w:val="20"/>
                <w:szCs w:val="20"/>
              </w:rPr>
              <w:t xml:space="preserve"> 3) wystąpienia zdarzenia przewidzianego przez wnioskodawcę podczas oceny </w:t>
            </w:r>
            <w:proofErr w:type="spellStart"/>
            <w:r w:rsidRPr="003E3FE6">
              <w:rPr>
                <w:rFonts w:ascii="Arial Narrow" w:hAnsi="Arial Narrow" w:cs="Tahoma"/>
                <w:sz w:val="20"/>
                <w:szCs w:val="20"/>
              </w:rPr>
              <w:t>ryzyk</w:t>
            </w:r>
            <w:proofErr w:type="spellEnd"/>
            <w:r w:rsidRPr="003E3FE6">
              <w:rPr>
                <w:rFonts w:ascii="Arial Narrow" w:hAnsi="Arial Narrow" w:cs="Tahoma"/>
                <w:sz w:val="20"/>
                <w:szCs w:val="20"/>
              </w:rPr>
              <w:t xml:space="preserve"> i uwzględnionego w harmonogramie realizacji projektu, które wystąpiło w większym wymiarze niż przewidział wnioskodawca, ale nie z winy podmiotu, odpowiedzialnego za realizację projektu. 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Tylko gdy wnioskodawca wykaże we wniosku o dofinansowanie, że w harmonogramie realizacji projektu uwzględniono możliwe opóźnienia wynikające ze</w:t>
            </w:r>
            <w:r>
              <w:t xml:space="preserve"> </w:t>
            </w:r>
            <w:r w:rsidRPr="003E3FE6">
              <w:rPr>
                <w:rFonts w:ascii="Arial Narrow" w:hAnsi="Arial Narrow" w:cs="Tahoma"/>
                <w:sz w:val="20"/>
                <w:szCs w:val="20"/>
              </w:rPr>
              <w:t xml:space="preserve">zdiagnozowanych </w:t>
            </w:r>
            <w:proofErr w:type="spellStart"/>
            <w:r w:rsidRPr="003E3FE6">
              <w:rPr>
                <w:rFonts w:ascii="Arial Narrow" w:hAnsi="Arial Narrow" w:cs="Tahoma"/>
                <w:sz w:val="20"/>
                <w:szCs w:val="20"/>
              </w:rPr>
              <w:t>ryzyk</w:t>
            </w:r>
            <w:proofErr w:type="spellEnd"/>
            <w:r w:rsidRPr="003E3FE6">
              <w:rPr>
                <w:rFonts w:ascii="Arial Narrow" w:hAnsi="Arial Narrow" w:cs="Tahoma"/>
                <w:sz w:val="20"/>
                <w:szCs w:val="20"/>
              </w:rPr>
              <w:t>, będzie możliwe wzięcie pod uwagę przesłanek wskazanych w pkt 2 i 3.</w:t>
            </w:r>
          </w:p>
          <w:p w:rsidR="002356E9" w:rsidRPr="00FC147A" w:rsidRDefault="003E3FE6" w:rsidP="003E3FE6">
            <w:pPr>
              <w:pStyle w:val="Default"/>
              <w:jc w:val="both"/>
              <w:rPr>
                <w:rFonts w:ascii="Arial Narrow" w:hAnsi="Arial Narrow" w:cs="Tahoma"/>
                <w:sz w:val="20"/>
                <w:szCs w:val="20"/>
              </w:rPr>
            </w:pPr>
            <w:r w:rsidRPr="003E3FE6">
              <w:rPr>
                <w:rFonts w:ascii="Arial Narrow" w:hAnsi="Arial Narrow" w:cs="Tahoma"/>
                <w:sz w:val="20"/>
                <w:szCs w:val="20"/>
              </w:rPr>
              <w:t xml:space="preserve"> 4) uznania za niekwalifikowalne wydatków projektu, które będą ponoszone po 30 czerwca 2023 r. Wówczas zmiana wniosku o dofinansowanie, polegająca na wydłużeniu okresu realizacji projektu, uwzględniać będzie również aktualizację części finansowej (przeniesienie kosztów planowanych do poniesienia po 30 czerwca 2023 r. do wydatków niekwalifikowalnych</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F67A9C" w:rsidRDefault="00F67A9C" w:rsidP="00072056">
            <w:pPr>
              <w:spacing w:after="0" w:line="240" w:lineRule="auto"/>
              <w:rPr>
                <w:rFonts w:ascii="Arial Narrow" w:hAnsi="Arial Narrow"/>
                <w:sz w:val="20"/>
                <w:szCs w:val="20"/>
              </w:rPr>
            </w:pPr>
          </w:p>
          <w:p w:rsidR="00F67A9C" w:rsidRPr="00FC147A" w:rsidRDefault="00F67A9C" w:rsidP="00072056">
            <w:pPr>
              <w:spacing w:after="0" w:line="240" w:lineRule="auto"/>
              <w:rPr>
                <w:rFonts w:ascii="Arial Narrow" w:hAnsi="Arial Narrow"/>
                <w:sz w:val="20"/>
                <w:szCs w:val="20"/>
              </w:rPr>
            </w:pPr>
            <w:r w:rsidRPr="00F67A9C">
              <w:rPr>
                <w:rFonts w:ascii="Arial Narrow" w:hAnsi="Arial Narrow"/>
                <w:sz w:val="20"/>
                <w:szCs w:val="20"/>
              </w:rPr>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1</w:t>
            </w:r>
          </w:p>
        </w:tc>
        <w:tc>
          <w:tcPr>
            <w:tcW w:w="2690" w:type="dxa"/>
            <w:vAlign w:val="center"/>
          </w:tcPr>
          <w:p w:rsidR="002356E9" w:rsidRPr="00FC147A" w:rsidRDefault="003E17AB" w:rsidP="003E17AB">
            <w:pPr>
              <w:pStyle w:val="Default"/>
              <w:rPr>
                <w:rFonts w:ascii="Arial Narrow" w:hAnsi="Arial Narrow" w:cs="Tahoma"/>
                <w:sz w:val="20"/>
                <w:szCs w:val="20"/>
              </w:rPr>
            </w:pPr>
            <w:r w:rsidRPr="003E17AB">
              <w:rPr>
                <w:rFonts w:ascii="Arial Narrow" w:hAnsi="Arial Narrow" w:cs="Tahoma"/>
                <w:sz w:val="20"/>
                <w:szCs w:val="20"/>
              </w:rPr>
              <w:t>Projekt nie został ukończony lub zrealizowany przed złożeniem wniosku o dofinansowanie</w:t>
            </w:r>
          </w:p>
        </w:tc>
        <w:tc>
          <w:tcPr>
            <w:tcW w:w="7448" w:type="dxa"/>
            <w:vAlign w:val="center"/>
          </w:tcPr>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3E17AB" w:rsidP="00A13473">
            <w:pPr>
              <w:pStyle w:val="Default"/>
              <w:jc w:val="both"/>
              <w:rPr>
                <w:rFonts w:ascii="Arial Narrow" w:hAnsi="Arial Narrow"/>
                <w:sz w:val="20"/>
                <w:szCs w:val="20"/>
              </w:rPr>
            </w:pPr>
            <w:r w:rsidRPr="003E17AB">
              <w:rPr>
                <w:rFonts w:ascii="Arial Narrow" w:hAnsi="Arial Narrow"/>
                <w:sz w:val="20"/>
                <w:szCs w:val="20"/>
              </w:rPr>
              <w:t>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Weryfikacja dokonywana będzie na podstawie oświadczenia składanego przez Wnioskodawcę</w:t>
            </w:r>
          </w:p>
          <w:p w:rsidR="00534192" w:rsidRDefault="00534192" w:rsidP="00072056">
            <w:pPr>
              <w:spacing w:after="0" w:line="240" w:lineRule="auto"/>
              <w:jc w:val="both"/>
              <w:rPr>
                <w:rFonts w:ascii="Arial Narrow" w:hAnsi="Arial Narrow" w:cs="Tahoma"/>
                <w:sz w:val="20"/>
                <w:szCs w:val="20"/>
              </w:rPr>
            </w:pPr>
          </w:p>
          <w:p w:rsidR="00534192" w:rsidRPr="00FC147A" w:rsidRDefault="00534192" w:rsidP="00072056">
            <w:pPr>
              <w:spacing w:after="0" w:line="240" w:lineRule="auto"/>
              <w:jc w:val="both"/>
              <w:rPr>
                <w:rFonts w:ascii="Arial Narrow" w:hAnsi="Arial Narrow" w:cs="Tahoma"/>
                <w:sz w:val="20"/>
                <w:szCs w:val="20"/>
              </w:rPr>
            </w:pPr>
          </w:p>
        </w:tc>
        <w:tc>
          <w:tcPr>
            <w:tcW w:w="3188" w:type="dxa"/>
            <w:vAlign w:val="center"/>
          </w:tcPr>
          <w:p w:rsidR="003E17AB" w:rsidRPr="003E17AB" w:rsidRDefault="003E17AB" w:rsidP="003E17AB">
            <w:pPr>
              <w:spacing w:after="0" w:line="240" w:lineRule="auto"/>
              <w:rPr>
                <w:rFonts w:ascii="Arial Narrow" w:hAnsi="Arial Narrow"/>
                <w:sz w:val="20"/>
                <w:szCs w:val="20"/>
              </w:rPr>
            </w:pPr>
            <w:r w:rsidRPr="003E17AB">
              <w:rPr>
                <w:rFonts w:ascii="Arial Narrow" w:hAnsi="Arial Narrow"/>
                <w:sz w:val="20"/>
                <w:szCs w:val="20"/>
              </w:rPr>
              <w:t xml:space="preserve">Tak / tak-warunkowo / nie (niespełnienie skutkować będzie negatywną oceną wniosku) Kryterium może zostać warunkowo uznane za spełnione w sytuacji w której dokumenty przedłożone w ramach wniosku o dofinansowanie nie pozwalają na ostateczną ocenę kryterium. </w:t>
            </w:r>
          </w:p>
          <w:p w:rsidR="002356E9" w:rsidRPr="00FC147A" w:rsidRDefault="002356E9" w:rsidP="003E17AB">
            <w:pPr>
              <w:spacing w:after="0" w:line="240" w:lineRule="auto"/>
              <w:rPr>
                <w:rFonts w:ascii="Arial Narrow" w:hAnsi="Arial Narrow"/>
                <w:sz w:val="20"/>
                <w:szCs w:val="20"/>
              </w:rPr>
            </w:pP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690"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448" w:type="dxa"/>
            <w:vAlign w:val="center"/>
          </w:tcPr>
          <w:p w:rsidR="002356E9" w:rsidRPr="00FC147A" w:rsidRDefault="00C61D4F" w:rsidP="00CF00AC">
            <w:pPr>
              <w:autoSpaceDE w:val="0"/>
              <w:autoSpaceDN w:val="0"/>
              <w:adjustRightInd w:val="0"/>
              <w:spacing w:after="0" w:line="240" w:lineRule="auto"/>
              <w:jc w:val="both"/>
              <w:rPr>
                <w:rFonts w:ascii="Arial Narrow" w:hAnsi="Arial Narrow" w:cs="Arial"/>
                <w:color w:val="000000"/>
                <w:sz w:val="20"/>
                <w:szCs w:val="20"/>
              </w:rPr>
            </w:pPr>
            <w:r w:rsidRPr="00C61D4F">
              <w:rPr>
                <w:rFonts w:ascii="Arial Narrow" w:hAnsi="Arial Narrow" w:cs="Arial"/>
                <w:color w:val="000000"/>
                <w:sz w:val="20"/>
                <w:szCs w:val="20"/>
              </w:rPr>
              <w:t xml:space="preserve">W ramach kryterium wstępnej ocenie podlegać będzie zgodność projektu z obowiązującymi przepisami krajowymi i unijnymi dotyczącymi stosowania pomocy publicznej lub pomocy de </w:t>
            </w:r>
            <w:proofErr w:type="spellStart"/>
            <w:r w:rsidRPr="00C61D4F">
              <w:rPr>
                <w:rFonts w:ascii="Arial Narrow" w:hAnsi="Arial Narrow" w:cs="Arial"/>
                <w:color w:val="000000"/>
                <w:sz w:val="20"/>
                <w:szCs w:val="20"/>
              </w:rPr>
              <w:t>minimis</w:t>
            </w:r>
            <w:proofErr w:type="spellEnd"/>
            <w:r w:rsidRPr="00C61D4F">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188" w:type="dxa"/>
            <w:vAlign w:val="center"/>
          </w:tcPr>
          <w:p w:rsidR="002356E9" w:rsidRDefault="005809AA" w:rsidP="005809AA">
            <w:pPr>
              <w:spacing w:after="0" w:line="240" w:lineRule="auto"/>
              <w:rPr>
                <w:rFonts w:ascii="Arial Narrow" w:hAnsi="Arial Narrow"/>
                <w:sz w:val="20"/>
                <w:szCs w:val="20"/>
              </w:rPr>
            </w:pPr>
            <w:r w:rsidRPr="005809AA">
              <w:rPr>
                <w:rFonts w:ascii="Arial Narrow" w:hAnsi="Arial Narrow"/>
                <w:sz w:val="20"/>
                <w:szCs w:val="20"/>
              </w:rPr>
              <w:t>Tak / tak-warunkowo / nie  (niespełnienie skutkować będzie negatywną oceną wniosku) Kryterium może zostać warunkowo uznane za spełnione w sytuacji w której dokumenty przedłożone w ramach wniosku o dofinansowanie nie pozwalają na ostateczną ocenę kryterium. Ocenie tego kryterium nie podlega zasadność ubiegania się o pomoc publiczną w oparciu o podstawę</w:t>
            </w:r>
          </w:p>
          <w:p w:rsidR="005809AA" w:rsidRPr="00FC147A" w:rsidRDefault="005809AA" w:rsidP="005809AA">
            <w:pPr>
              <w:spacing w:after="0" w:line="240" w:lineRule="auto"/>
              <w:rPr>
                <w:rFonts w:ascii="Arial Narrow" w:hAnsi="Arial Narrow"/>
                <w:sz w:val="20"/>
                <w:szCs w:val="20"/>
              </w:rPr>
            </w:pPr>
            <w:r w:rsidRPr="005809AA">
              <w:rPr>
                <w:rFonts w:ascii="Arial Narrow" w:hAnsi="Arial Narrow"/>
                <w:sz w:val="20"/>
                <w:szCs w:val="20"/>
              </w:rPr>
              <w:t>prawną wskazaną we wniosku o dofinansowanie</w:t>
            </w:r>
          </w:p>
        </w:tc>
      </w:tr>
      <w:tr w:rsidR="002356E9" w:rsidRPr="00FC147A" w:rsidTr="00163E65">
        <w:tc>
          <w:tcPr>
            <w:tcW w:w="560"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448" w:type="dxa"/>
            <w:vAlign w:val="center"/>
          </w:tcPr>
          <w:p w:rsid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2356E9" w:rsidRP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We wniosku o dofinansowanie wymaga się wykazania pozytywnego</w:t>
            </w:r>
            <w:r>
              <w:rPr>
                <w:rFonts w:ascii="Arial Narrow" w:hAnsi="Arial Narrow" w:cs="Arial"/>
                <w:color w:val="000000"/>
                <w:sz w:val="20"/>
                <w:szCs w:val="20"/>
              </w:rPr>
              <w:t xml:space="preserve"> </w:t>
            </w:r>
            <w:r w:rsidRPr="008C5AB8">
              <w:rPr>
                <w:rFonts w:ascii="Arial Narrow" w:hAnsi="Arial Narrow" w:cs="Arial"/>
                <w:color w:val="000000"/>
                <w:sz w:val="20"/>
                <w:szCs w:val="20"/>
              </w:rPr>
              <w:t>wpływu realizacji projektu na zasadę równości szans  i niedyskryminacji, w tym  dostępności dla  osób  z  niepełnosprawnościami</w:t>
            </w:r>
            <w:r>
              <w:rPr>
                <w:rFonts w:ascii="Arial Narrow" w:hAnsi="Arial Narrow" w:cs="Arial"/>
                <w:color w:val="000000"/>
                <w:sz w:val="20"/>
                <w:szCs w:val="20"/>
              </w:rPr>
              <w:t xml:space="preserve"> </w:t>
            </w:r>
            <w:r w:rsidRPr="008C5AB8">
              <w:rPr>
                <w:rFonts w:ascii="Arial Narrow" w:hAnsi="Arial Narrow" w:cs="Arial"/>
                <w:color w:val="000000"/>
                <w:sz w:val="20"/>
                <w:szCs w:val="20"/>
              </w:rPr>
              <w:t>oraz   opisania</w:t>
            </w:r>
            <w:r>
              <w:rPr>
                <w:rFonts w:ascii="Arial Narrow" w:hAnsi="Arial Narrow" w:cs="Arial"/>
                <w:color w:val="000000"/>
                <w:sz w:val="20"/>
                <w:szCs w:val="20"/>
              </w:rPr>
              <w:t xml:space="preserve"> </w:t>
            </w:r>
            <w:r w:rsidRPr="008C5AB8">
              <w:rPr>
                <w:rFonts w:ascii="Arial Narrow" w:hAnsi="Arial Narrow" w:cs="Arial"/>
                <w:color w:val="000000"/>
                <w:sz w:val="20"/>
                <w:szCs w:val="20"/>
              </w:rPr>
              <w:t>sposobów</w:t>
            </w:r>
            <w:r>
              <w:rPr>
                <w:rFonts w:ascii="Arial Narrow" w:hAnsi="Arial Narrow" w:cs="Arial"/>
                <w:color w:val="000000"/>
                <w:sz w:val="20"/>
                <w:szCs w:val="20"/>
              </w:rPr>
              <w:t xml:space="preserve"> </w:t>
            </w:r>
            <w:r w:rsidRPr="008C5AB8">
              <w:rPr>
                <w:rFonts w:ascii="Arial Narrow" w:hAnsi="Arial Narrow" w:cs="Arial"/>
                <w:color w:val="000000"/>
                <w:sz w:val="20"/>
                <w:szCs w:val="20"/>
              </w:rPr>
              <w:t>zapewnienia  zgodności  projektu  z</w:t>
            </w:r>
            <w:r>
              <w:rPr>
                <w:rFonts w:ascii="Arial Narrow" w:hAnsi="Arial Narrow" w:cs="Arial"/>
                <w:color w:val="000000"/>
                <w:sz w:val="20"/>
                <w:szCs w:val="20"/>
              </w:rPr>
              <w:t xml:space="preserve"> </w:t>
            </w:r>
            <w:r w:rsidRPr="008C5AB8">
              <w:rPr>
                <w:rFonts w:ascii="Arial Narrow" w:hAnsi="Arial Narrow" w:cs="Arial"/>
                <w:color w:val="000000"/>
                <w:sz w:val="20"/>
                <w:szCs w:val="20"/>
              </w:rPr>
              <w:t>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188" w:type="dxa"/>
            <w:vAlign w:val="center"/>
          </w:tcPr>
          <w:p w:rsidR="00163E65" w:rsidRPr="00163E65" w:rsidRDefault="00163E65" w:rsidP="00163E65">
            <w:pPr>
              <w:autoSpaceDE w:val="0"/>
              <w:autoSpaceDN w:val="0"/>
              <w:adjustRightInd w:val="0"/>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 xml:space="preserve">Tak / nie </w:t>
            </w:r>
          </w:p>
          <w:p w:rsidR="00163E65" w:rsidRDefault="00163E65" w:rsidP="00163E65">
            <w:pPr>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(niespełnienie skutkować będzie negatywną oceną wniosku)</w:t>
            </w:r>
          </w:p>
          <w:p w:rsidR="00CF00AC" w:rsidRPr="00FC147A" w:rsidRDefault="00163E65" w:rsidP="00163E65">
            <w:pPr>
              <w:spacing w:after="0" w:line="240" w:lineRule="auto"/>
              <w:rPr>
                <w:rFonts w:ascii="Arial Narrow" w:hAnsi="Arial Narrow"/>
                <w:sz w:val="20"/>
                <w:szCs w:val="20"/>
              </w:rPr>
            </w:pPr>
            <w:r w:rsidRPr="00163E65">
              <w:rPr>
                <w:rFonts w:ascii="Arial Narrow" w:hAnsi="Arial Narrow" w:cs="Arial"/>
                <w:color w:val="000000"/>
                <w:sz w:val="20"/>
                <w:szCs w:val="20"/>
              </w:rPr>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lastRenderedPageBreak/>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lastRenderedPageBreak/>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lastRenderedPageBreak/>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5</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rPr>
          <w:trHeight w:val="1559"/>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BD7121" w:rsidRDefault="00BD7121" w:rsidP="004B0EA6">
            <w:pPr>
              <w:jc w:val="both"/>
              <w:rPr>
                <w:rFonts w:ascii="Arial Narrow" w:hAnsi="Arial Narrow" w:cs="Arial"/>
                <w:color w:val="000000"/>
                <w:sz w:val="20"/>
                <w:szCs w:val="20"/>
              </w:rPr>
            </w:pPr>
            <w:r w:rsidRPr="00BD7121">
              <w:rPr>
                <w:rFonts w:ascii="Arial Narrow" w:hAnsi="Arial Narrow" w:cs="Arial"/>
                <w:color w:val="000000"/>
                <w:sz w:val="20"/>
                <w:szCs w:val="20"/>
              </w:rPr>
              <w:t>W  ramach  kryterium  ocenie  podlegać  będzie,  czy projekt   jest   zgodny   z planami,   dokumentami strategicznym</w:t>
            </w:r>
            <w:r>
              <w:rPr>
                <w:rFonts w:ascii="Arial Narrow" w:hAnsi="Arial Narrow" w:cs="Arial"/>
                <w:color w:val="000000"/>
                <w:sz w:val="20"/>
                <w:szCs w:val="20"/>
              </w:rPr>
              <w:t xml:space="preserve"> </w:t>
            </w:r>
            <w:r w:rsidRPr="00BD7121">
              <w:rPr>
                <w:rFonts w:ascii="Arial Narrow" w:hAnsi="Arial Narrow" w:cs="Arial"/>
                <w:color w:val="000000"/>
                <w:sz w:val="20"/>
                <w:szCs w:val="20"/>
              </w:rPr>
              <w:t>i</w:t>
            </w:r>
            <w:r>
              <w:rPr>
                <w:rFonts w:ascii="Arial Narrow" w:hAnsi="Arial Narrow" w:cs="Arial"/>
                <w:color w:val="000000"/>
                <w:sz w:val="20"/>
                <w:szCs w:val="20"/>
              </w:rPr>
              <w:t xml:space="preserve"> </w:t>
            </w:r>
            <w:r w:rsidRPr="00BD7121">
              <w:rPr>
                <w:rFonts w:ascii="Arial Narrow" w:hAnsi="Arial Narrow" w:cs="Arial"/>
                <w:color w:val="000000"/>
                <w:sz w:val="20"/>
                <w:szCs w:val="20"/>
              </w:rPr>
              <w:t>określonymi w punkcie  6 Szczegółowego</w:t>
            </w:r>
            <w:r>
              <w:rPr>
                <w:rFonts w:ascii="Arial Narrow" w:hAnsi="Arial Narrow" w:cs="Arial"/>
                <w:color w:val="000000"/>
                <w:sz w:val="20"/>
                <w:szCs w:val="20"/>
              </w:rPr>
              <w:t xml:space="preserve"> </w:t>
            </w:r>
            <w:r w:rsidRPr="00BD7121">
              <w:rPr>
                <w:rFonts w:ascii="Arial Narrow" w:hAnsi="Arial Narrow" w:cs="Arial"/>
                <w:color w:val="000000"/>
                <w:sz w:val="20"/>
                <w:szCs w:val="20"/>
              </w:rPr>
              <w:t>opisu</w:t>
            </w:r>
            <w:r>
              <w:rPr>
                <w:rFonts w:ascii="Arial Narrow" w:hAnsi="Arial Narrow" w:cs="Arial"/>
                <w:color w:val="000000"/>
                <w:sz w:val="20"/>
                <w:szCs w:val="20"/>
              </w:rPr>
              <w:t xml:space="preserve"> </w:t>
            </w:r>
            <w:r w:rsidRPr="00BD7121">
              <w:rPr>
                <w:rFonts w:ascii="Arial Narrow" w:hAnsi="Arial Narrow" w:cs="Arial"/>
                <w:color w:val="000000"/>
                <w:sz w:val="20"/>
                <w:szCs w:val="20"/>
              </w:rPr>
              <w:t>osi priorytetowych RPO WŁ na lata 2014-2020</w:t>
            </w:r>
            <w:r w:rsidR="009C5899">
              <w:rPr>
                <w:rFonts w:ascii="Arial Narrow" w:hAnsi="Arial Narrow" w:cs="Arial"/>
                <w:color w:val="000000"/>
                <w:sz w:val="20"/>
                <w:szCs w:val="20"/>
              </w:rPr>
              <w:t xml:space="preserve"> </w:t>
            </w:r>
            <w:r w:rsidRPr="00BD7121">
              <w:rPr>
                <w:rFonts w:ascii="Arial Narrow" w:hAnsi="Arial Narrow" w:cs="Arial"/>
                <w:color w:val="000000"/>
                <w:sz w:val="20"/>
                <w:szCs w:val="20"/>
              </w:rPr>
              <w:t xml:space="preserve">dla danego działania/poddziałania. </w:t>
            </w:r>
          </w:p>
          <w:p w:rsidR="00FA2F7F" w:rsidRPr="00FC147A" w:rsidRDefault="00BD7121" w:rsidP="00DF086A">
            <w:pPr>
              <w:jc w:val="both"/>
              <w:rPr>
                <w:rFonts w:ascii="Arial Narrow" w:hAnsi="Arial Narrow" w:cs="Tahoma"/>
                <w:sz w:val="20"/>
                <w:szCs w:val="20"/>
              </w:rPr>
            </w:pPr>
            <w:r w:rsidRPr="00BD7121">
              <w:rPr>
                <w:rFonts w:ascii="Arial Narrow" w:hAnsi="Arial Narrow" w:cs="Arial"/>
                <w:color w:val="000000"/>
                <w:sz w:val="20"/>
                <w:szCs w:val="20"/>
              </w:rPr>
              <w:t>Możliwe jest doprecyzowanie lub uzupełnienie katalogu planów, dokumentów</w:t>
            </w:r>
            <w:r>
              <w:rPr>
                <w:rFonts w:ascii="Arial Narrow" w:hAnsi="Arial Narrow" w:cs="Arial"/>
                <w:color w:val="000000"/>
                <w:sz w:val="20"/>
                <w:szCs w:val="20"/>
              </w:rPr>
              <w:t xml:space="preserve"> </w:t>
            </w:r>
            <w:r w:rsidRPr="00BD7121">
              <w:rPr>
                <w:rFonts w:ascii="Arial Narrow" w:hAnsi="Arial Narrow" w:cs="Arial"/>
                <w:color w:val="000000"/>
                <w:sz w:val="20"/>
                <w:szCs w:val="20"/>
              </w:rPr>
              <w:t>strategicznych</w:t>
            </w:r>
            <w:r>
              <w:rPr>
                <w:rFonts w:ascii="Arial Narrow" w:hAnsi="Arial Narrow" w:cs="Arial"/>
                <w:color w:val="000000"/>
                <w:sz w:val="20"/>
                <w:szCs w:val="20"/>
              </w:rPr>
              <w:t xml:space="preserve"> </w:t>
            </w:r>
            <w:r w:rsidRPr="00BD7121">
              <w:rPr>
                <w:rFonts w:ascii="Arial Narrow" w:hAnsi="Arial Narrow" w:cs="Arial"/>
                <w:color w:val="000000"/>
                <w:sz w:val="20"/>
                <w:szCs w:val="20"/>
              </w:rPr>
              <w:t>w Regulaminie konkursu  w  przypadku  trybu  konkursowego</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163E65">
            <w:pPr>
              <w:spacing w:after="0" w:line="240" w:lineRule="auto"/>
              <w:jc w:val="center"/>
              <w:rPr>
                <w:rFonts w:ascii="Arial Narrow" w:hAnsi="Arial Narrow"/>
                <w:b/>
                <w:sz w:val="20"/>
                <w:szCs w:val="20"/>
              </w:rPr>
            </w:pPr>
            <w:r w:rsidRPr="00FC147A">
              <w:rPr>
                <w:rFonts w:ascii="Arial Narrow" w:hAnsi="Arial Narrow"/>
                <w:b/>
                <w:sz w:val="20"/>
                <w:szCs w:val="20"/>
              </w:rPr>
              <w:t>1</w:t>
            </w:r>
            <w:r w:rsidR="00163E65">
              <w:rPr>
                <w:rFonts w:ascii="Arial Narrow" w:hAnsi="Arial Narrow"/>
                <w:b/>
                <w:sz w:val="20"/>
                <w:szCs w:val="20"/>
              </w:rPr>
              <w:t>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163E65">
        <w:trPr>
          <w:trHeight w:val="1727"/>
        </w:trPr>
        <w:tc>
          <w:tcPr>
            <w:tcW w:w="560" w:type="dxa"/>
            <w:vAlign w:val="center"/>
          </w:tcPr>
          <w:p w:rsidR="009C7B5C" w:rsidRPr="00FC147A" w:rsidRDefault="00163E65"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690"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448"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lastRenderedPageBreak/>
              <w:t>19</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rPr>
          <w:trHeight w:val="1400"/>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6C2ACB" w:rsidP="0017129E">
            <w:pPr>
              <w:pStyle w:val="Default"/>
              <w:jc w:val="both"/>
              <w:rPr>
                <w:rFonts w:ascii="Arial Narrow" w:eastAsia="Times New Roman" w:hAnsi="Arial Narrow"/>
                <w:sz w:val="20"/>
                <w:szCs w:val="20"/>
              </w:rPr>
            </w:pPr>
            <w:r w:rsidRPr="006C2ACB">
              <w:rPr>
                <w:rFonts w:ascii="Arial Narrow" w:eastAsia="Times New Roman" w:hAnsi="Arial Narrow"/>
                <w:sz w:val="20"/>
                <w:szCs w:val="20"/>
              </w:rPr>
              <w:t xml:space="preserve">W ramach kryterium ocenie podlegać będzie zgodność wartości wydatków w zakresie finansowania krzyżowego (cross - </w:t>
            </w:r>
            <w:proofErr w:type="spellStart"/>
            <w:r w:rsidRPr="006C2ACB">
              <w:rPr>
                <w:rFonts w:ascii="Arial Narrow" w:eastAsia="Times New Roman" w:hAnsi="Arial Narrow"/>
                <w:sz w:val="20"/>
                <w:szCs w:val="20"/>
              </w:rPr>
              <w:t>financing</w:t>
            </w:r>
            <w:proofErr w:type="spellEnd"/>
            <w:r w:rsidRPr="006C2ACB">
              <w:rPr>
                <w:rFonts w:ascii="Arial Narrow" w:eastAsia="Times New Roman" w:hAnsi="Arial Narrow"/>
                <w:sz w:val="20"/>
                <w:szCs w:val="20"/>
              </w:rPr>
              <w:t>), z maksymalnym dopuszczalnym poziomem określonym w punkcie 19 Szczegółowego opisu osi priorytetowych RPO WŁ na lata 2014-2020 dla danego działania lub poddziałania, określonego w Regulaminie</w:t>
            </w:r>
            <w:r w:rsidR="00547F80">
              <w:rPr>
                <w:rFonts w:ascii="Arial Narrow" w:eastAsia="Times New Roman" w:hAnsi="Arial Narrow"/>
                <w:sz w:val="20"/>
                <w:szCs w:val="20"/>
              </w:rPr>
              <w:t xml:space="preserv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22</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rPr>
          <w:trHeight w:val="1038"/>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448"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p w:rsidR="009C7B5C" w:rsidRPr="00FC147A" w:rsidRDefault="009C7B5C">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lastRenderedPageBreak/>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lastRenderedPageBreak/>
              <w:t>27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83399D" w:rsidRPr="00FC147A" w:rsidTr="00163E65">
        <w:tc>
          <w:tcPr>
            <w:tcW w:w="560" w:type="dxa"/>
            <w:vAlign w:val="center"/>
          </w:tcPr>
          <w:p w:rsidR="0083399D" w:rsidRPr="00FC147A" w:rsidRDefault="0083399D" w:rsidP="00591D11">
            <w:pPr>
              <w:spacing w:after="0" w:line="240" w:lineRule="auto"/>
              <w:jc w:val="center"/>
              <w:rPr>
                <w:rFonts w:ascii="Arial Narrow" w:hAnsi="Arial Narrow"/>
                <w:b/>
                <w:sz w:val="20"/>
                <w:szCs w:val="20"/>
              </w:rPr>
            </w:pPr>
            <w:r>
              <w:rPr>
                <w:rFonts w:ascii="Arial Narrow" w:hAnsi="Arial Narrow"/>
                <w:b/>
                <w:sz w:val="20"/>
                <w:szCs w:val="20"/>
              </w:rPr>
              <w:t>2</w:t>
            </w:r>
            <w:r w:rsidR="00163E65">
              <w:rPr>
                <w:rFonts w:ascii="Arial Narrow" w:hAnsi="Arial Narrow"/>
                <w:b/>
                <w:sz w:val="20"/>
                <w:szCs w:val="20"/>
              </w:rPr>
              <w:t>8</w:t>
            </w:r>
            <w:r>
              <w:rPr>
                <w:rFonts w:ascii="Arial Narrow" w:hAnsi="Arial Narrow"/>
                <w:b/>
                <w:sz w:val="20"/>
                <w:szCs w:val="20"/>
              </w:rPr>
              <w:t xml:space="preserve"> </w:t>
            </w:r>
          </w:p>
        </w:tc>
        <w:tc>
          <w:tcPr>
            <w:tcW w:w="2690" w:type="dxa"/>
            <w:vAlign w:val="center"/>
          </w:tcPr>
          <w:p w:rsidR="0083399D" w:rsidRPr="00FC147A" w:rsidRDefault="00760771" w:rsidP="009C7B5C">
            <w:pPr>
              <w:pStyle w:val="Default"/>
              <w:rPr>
                <w:rFonts w:ascii="Arial Narrow" w:hAnsi="Arial Narrow"/>
                <w:sz w:val="20"/>
                <w:szCs w:val="20"/>
              </w:rPr>
            </w:pPr>
            <w:r w:rsidRPr="00760771">
              <w:rPr>
                <w:rFonts w:ascii="Arial Narrow" w:hAnsi="Arial Narrow"/>
                <w:sz w:val="20"/>
                <w:szCs w:val="20"/>
              </w:rPr>
              <w:t>Projekt spełnia wymóg w zakresie nośności drogi</w:t>
            </w:r>
            <w:r w:rsidR="00EB7DFF" w:rsidRPr="00EB7DFF">
              <w:rPr>
                <w:rFonts w:ascii="Arial Narrow" w:hAnsi="Arial Narrow"/>
                <w:sz w:val="20"/>
                <w:szCs w:val="20"/>
              </w:rPr>
              <w:t>11,5 t/oś (jeśli dotyczy)</w:t>
            </w:r>
          </w:p>
        </w:tc>
        <w:tc>
          <w:tcPr>
            <w:tcW w:w="7448" w:type="dxa"/>
            <w:vAlign w:val="center"/>
          </w:tcPr>
          <w:p w:rsidR="0083399D" w:rsidRPr="00FC147A" w:rsidRDefault="00760771" w:rsidP="0083399D">
            <w:pPr>
              <w:pStyle w:val="Default"/>
              <w:jc w:val="both"/>
              <w:rPr>
                <w:rFonts w:ascii="Arial Narrow" w:hAnsi="Arial Narrow"/>
                <w:sz w:val="20"/>
                <w:szCs w:val="20"/>
              </w:rPr>
            </w:pPr>
            <w:r w:rsidRPr="00760771">
              <w:rPr>
                <w:rFonts w:ascii="Arial Narrow" w:hAnsi="Arial Narrow"/>
                <w:sz w:val="20"/>
                <w:szCs w:val="20"/>
              </w:rPr>
              <w:t>W ramach kryterium ocenie podlegać będzie, czy projekt uwzględnia wymóg zapewnienia nośności drogi wynoszącej minimum 11,5 t na oś.</w:t>
            </w:r>
          </w:p>
        </w:tc>
        <w:tc>
          <w:tcPr>
            <w:tcW w:w="3188" w:type="dxa"/>
            <w:vAlign w:val="center"/>
          </w:tcPr>
          <w:p w:rsidR="0083399D" w:rsidRDefault="00760771" w:rsidP="0083399D">
            <w:pPr>
              <w:pStyle w:val="Default"/>
              <w:rPr>
                <w:rFonts w:ascii="Arial Narrow" w:hAnsi="Arial Narrow"/>
                <w:sz w:val="20"/>
                <w:szCs w:val="20"/>
              </w:rPr>
            </w:pPr>
            <w:r>
              <w:rPr>
                <w:rFonts w:ascii="Arial Narrow" w:hAnsi="Arial Narrow"/>
                <w:sz w:val="20"/>
                <w:szCs w:val="20"/>
              </w:rPr>
              <w:t>Tak / nie/ nie dotyczy</w:t>
            </w:r>
          </w:p>
          <w:p w:rsidR="009F155A" w:rsidRPr="009F155A" w:rsidRDefault="009F155A" w:rsidP="009F155A">
            <w:pPr>
              <w:pStyle w:val="Default"/>
              <w:rPr>
                <w:rFonts w:ascii="Arial Narrow" w:hAnsi="Arial Narrow"/>
                <w:sz w:val="20"/>
                <w:szCs w:val="20"/>
              </w:rPr>
            </w:pPr>
            <w:r w:rsidRPr="009F155A">
              <w:rPr>
                <w:rFonts w:ascii="Arial Narrow" w:hAnsi="Arial Narrow"/>
                <w:sz w:val="20"/>
                <w:szCs w:val="20"/>
              </w:rPr>
              <w:t xml:space="preserve">(niespełnienie skutkować będzie negatywną oceną wniosku) </w:t>
            </w:r>
          </w:p>
          <w:p w:rsidR="009F155A" w:rsidRPr="00FC147A" w:rsidRDefault="009F155A" w:rsidP="009F155A">
            <w:pPr>
              <w:pStyle w:val="Default"/>
              <w:rPr>
                <w:rFonts w:ascii="Arial Narrow" w:hAnsi="Arial Narrow"/>
                <w:sz w:val="20"/>
                <w:szCs w:val="20"/>
              </w:rPr>
            </w:pPr>
            <w:r w:rsidRPr="009F155A">
              <w:rPr>
                <w:rFonts w:ascii="Arial Narrow" w:hAnsi="Arial Narrow"/>
                <w:sz w:val="20"/>
                <w:szCs w:val="20"/>
              </w:rPr>
              <w:t>Możliwość poprawienia/uzupełnienia formularza wniosku i załączników lub złożenia wyjaśnień, w przypadku wątpliwości</w:t>
            </w:r>
          </w:p>
        </w:tc>
      </w:tr>
      <w:tr w:rsidR="00EB7DFF" w:rsidRPr="00FC147A" w:rsidTr="00EB7DFF">
        <w:trPr>
          <w:trHeight w:val="1425"/>
        </w:trPr>
        <w:tc>
          <w:tcPr>
            <w:tcW w:w="560" w:type="dxa"/>
            <w:vAlign w:val="center"/>
          </w:tcPr>
          <w:p w:rsidR="00EB7DFF" w:rsidRDefault="00EB7DFF" w:rsidP="00591D11">
            <w:pPr>
              <w:spacing w:after="0" w:line="240" w:lineRule="auto"/>
              <w:jc w:val="center"/>
              <w:rPr>
                <w:rFonts w:ascii="Arial Narrow" w:hAnsi="Arial Narrow"/>
                <w:b/>
                <w:sz w:val="20"/>
                <w:szCs w:val="20"/>
              </w:rPr>
            </w:pPr>
            <w:r>
              <w:rPr>
                <w:rFonts w:ascii="Arial Narrow" w:hAnsi="Arial Narrow"/>
                <w:b/>
                <w:sz w:val="20"/>
                <w:szCs w:val="20"/>
              </w:rPr>
              <w:t>29</w:t>
            </w:r>
          </w:p>
        </w:tc>
        <w:tc>
          <w:tcPr>
            <w:tcW w:w="2690" w:type="dxa"/>
            <w:vAlign w:val="center"/>
          </w:tcPr>
          <w:p w:rsidR="00EB7DFF" w:rsidRPr="00760771" w:rsidRDefault="00A10203" w:rsidP="009C7B5C">
            <w:pPr>
              <w:pStyle w:val="Default"/>
              <w:rPr>
                <w:rFonts w:ascii="Arial Narrow" w:hAnsi="Arial Narrow"/>
                <w:sz w:val="20"/>
                <w:szCs w:val="20"/>
              </w:rPr>
            </w:pPr>
            <w:r w:rsidRPr="00A10203">
              <w:rPr>
                <w:rFonts w:ascii="Arial Narrow" w:hAnsi="Arial Narrow"/>
                <w:sz w:val="20"/>
                <w:szCs w:val="20"/>
              </w:rPr>
              <w:t>Projekt wynika z obowiązującego i pozytywnie zweryfikowanego przez IZ RPO WŁ programu rewitalizacji oraz jest zlokalizowany na obszarze rewitalizacji (jeśli dotyczy).</w:t>
            </w:r>
          </w:p>
        </w:tc>
        <w:tc>
          <w:tcPr>
            <w:tcW w:w="7448" w:type="dxa"/>
            <w:vAlign w:val="center"/>
          </w:tcPr>
          <w:p w:rsidR="00A10203" w:rsidRPr="00A10203" w:rsidRDefault="00A10203" w:rsidP="00A10203">
            <w:pPr>
              <w:pStyle w:val="Default"/>
              <w:jc w:val="both"/>
              <w:rPr>
                <w:rFonts w:ascii="Arial Narrow" w:hAnsi="Arial Narrow"/>
                <w:sz w:val="20"/>
                <w:szCs w:val="20"/>
              </w:rPr>
            </w:pPr>
            <w:r w:rsidRPr="00A10203">
              <w:rPr>
                <w:rFonts w:ascii="Arial Narrow" w:hAnsi="Arial Narrow"/>
                <w:sz w:val="20"/>
                <w:szCs w:val="20"/>
              </w:rPr>
              <w:t xml:space="preserve">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 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 </w:t>
            </w:r>
          </w:p>
          <w:p w:rsidR="00EB7DFF" w:rsidRPr="00760771" w:rsidRDefault="00EB7DFF" w:rsidP="00A10203">
            <w:pPr>
              <w:pStyle w:val="Default"/>
              <w:jc w:val="both"/>
              <w:rPr>
                <w:rFonts w:ascii="Arial Narrow" w:hAnsi="Arial Narrow"/>
                <w:sz w:val="20"/>
                <w:szCs w:val="20"/>
              </w:rPr>
            </w:pPr>
          </w:p>
        </w:tc>
        <w:tc>
          <w:tcPr>
            <w:tcW w:w="3188" w:type="dxa"/>
            <w:vAlign w:val="center"/>
          </w:tcPr>
          <w:p w:rsidR="00A10203" w:rsidRPr="00A10203" w:rsidRDefault="00A10203" w:rsidP="00A10203">
            <w:pPr>
              <w:pStyle w:val="Default"/>
              <w:rPr>
                <w:rFonts w:ascii="Arial Narrow" w:hAnsi="Arial Narrow"/>
                <w:sz w:val="20"/>
                <w:szCs w:val="20"/>
              </w:rPr>
            </w:pPr>
            <w:r w:rsidRPr="00A10203">
              <w:rPr>
                <w:rFonts w:ascii="Arial Narrow" w:hAnsi="Arial Narrow"/>
                <w:sz w:val="20"/>
                <w:szCs w:val="20"/>
              </w:rPr>
              <w:t xml:space="preserve">Tak / nie  / nie dotyczy </w:t>
            </w:r>
          </w:p>
          <w:p w:rsidR="00A10203" w:rsidRPr="00A10203" w:rsidRDefault="00A10203" w:rsidP="00A10203">
            <w:pPr>
              <w:pStyle w:val="Default"/>
              <w:rPr>
                <w:rFonts w:ascii="Arial Narrow" w:hAnsi="Arial Narrow"/>
                <w:sz w:val="20"/>
                <w:szCs w:val="20"/>
              </w:rPr>
            </w:pPr>
            <w:r w:rsidRPr="00A10203">
              <w:rPr>
                <w:rFonts w:ascii="Arial Narrow" w:hAnsi="Arial Narrow"/>
                <w:sz w:val="20"/>
                <w:szCs w:val="20"/>
              </w:rPr>
              <w:t xml:space="preserve">(niespełnienie skutkować będzie negatywną oceną wniosku) </w:t>
            </w:r>
          </w:p>
          <w:p w:rsidR="00A10203" w:rsidRPr="00A10203" w:rsidRDefault="00A10203" w:rsidP="00A10203">
            <w:pPr>
              <w:pStyle w:val="Default"/>
              <w:rPr>
                <w:rFonts w:ascii="Arial Narrow" w:hAnsi="Arial Narrow"/>
                <w:sz w:val="20"/>
                <w:szCs w:val="20"/>
              </w:rPr>
            </w:pPr>
            <w:r w:rsidRPr="00A10203">
              <w:rPr>
                <w:rFonts w:ascii="Arial Narrow" w:hAnsi="Arial Narrow"/>
                <w:sz w:val="20"/>
                <w:szCs w:val="20"/>
              </w:rPr>
              <w:t xml:space="preserve">Możliwość poprawienia/uzupełnienia formularza wniosku i załączników lub złożenia wyjaśnień, w przypadku wątpliwości. </w:t>
            </w:r>
          </w:p>
          <w:p w:rsidR="00EB7DFF" w:rsidRDefault="00EB7DFF" w:rsidP="00A10203">
            <w:pPr>
              <w:pStyle w:val="Default"/>
              <w:rPr>
                <w:rFonts w:ascii="Arial Narrow" w:hAnsi="Arial Narrow"/>
                <w:sz w:val="20"/>
                <w:szCs w:val="20"/>
              </w:rPr>
            </w:pPr>
          </w:p>
        </w:tc>
      </w:tr>
    </w:tbl>
    <w:p w:rsidR="00540F80" w:rsidRDefault="00540F80" w:rsidP="004D0202">
      <w:pPr>
        <w:spacing w:after="0" w:line="240" w:lineRule="auto"/>
        <w:rPr>
          <w:rFonts w:ascii="Arial Narrow" w:eastAsia="Calibri" w:hAnsi="Arial Narrow" w:cs="Tahoma"/>
          <w:b/>
          <w:sz w:val="20"/>
          <w:szCs w:val="20"/>
        </w:rPr>
      </w:pPr>
    </w:p>
    <w:p w:rsidR="00540F80" w:rsidRDefault="00540F80" w:rsidP="004D0202">
      <w:pPr>
        <w:spacing w:after="0" w:line="240" w:lineRule="auto"/>
        <w:rPr>
          <w:rFonts w:ascii="Arial Narrow" w:eastAsia="Calibri" w:hAnsi="Arial Narrow" w:cs="Tahoma"/>
          <w:b/>
          <w:sz w:val="20"/>
          <w:szCs w:val="20"/>
        </w:rPr>
      </w:pPr>
    </w:p>
    <w:p w:rsidR="00540F80" w:rsidRDefault="00540F80" w:rsidP="004D0202">
      <w:pPr>
        <w:spacing w:after="0" w:line="240" w:lineRule="auto"/>
        <w:rPr>
          <w:rFonts w:ascii="Arial Narrow" w:eastAsia="Calibri" w:hAnsi="Arial Narrow" w:cs="Tahoma"/>
          <w:b/>
          <w:sz w:val="20"/>
          <w:szCs w:val="20"/>
        </w:rPr>
      </w:pPr>
    </w:p>
    <w:p w:rsidR="00540F80" w:rsidRDefault="00540F80" w:rsidP="004D0202">
      <w:pPr>
        <w:spacing w:after="0" w:line="240" w:lineRule="auto"/>
        <w:rPr>
          <w:rFonts w:ascii="Arial Narrow" w:eastAsia="Calibri" w:hAnsi="Arial Narrow" w:cs="Tahoma"/>
          <w:b/>
          <w:sz w:val="20"/>
          <w:szCs w:val="20"/>
        </w:rPr>
      </w:pPr>
    </w:p>
    <w:p w:rsidR="00540F80" w:rsidRDefault="00540F80" w:rsidP="004D0202">
      <w:pPr>
        <w:spacing w:after="0" w:line="240" w:lineRule="auto"/>
        <w:rPr>
          <w:rFonts w:ascii="Arial Narrow" w:eastAsia="Calibri" w:hAnsi="Arial Narrow" w:cs="Tahoma"/>
          <w:b/>
          <w:sz w:val="20"/>
          <w:szCs w:val="20"/>
        </w:rPr>
      </w:pPr>
    </w:p>
    <w:p w:rsidR="002356E9" w:rsidRPr="00015AE6"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977009" w:rsidRDefault="00977009" w:rsidP="00977009">
      <w:pPr>
        <w:spacing w:after="0" w:line="240" w:lineRule="auto"/>
        <w:rPr>
          <w:rFonts w:ascii="Arial Narrow" w:eastAsia="Calibri" w:hAnsi="Arial Narrow" w:cs="Tahoma"/>
          <w:b/>
          <w:sz w:val="20"/>
          <w:szCs w:val="20"/>
          <w:u w:val="single"/>
        </w:rPr>
      </w:pPr>
    </w:p>
    <w:p w:rsidR="00540F80" w:rsidRPr="00FC147A" w:rsidRDefault="00540F80"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7447A7"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W ramach kryterium wstępnej ocenie podlegać będzie zgodność inwestycji z typem projektu zapisanym:</w:t>
            </w:r>
          </w:p>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 xml:space="preserve">-w przypadku trybu konkursowego </w:t>
            </w:r>
          </w:p>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lastRenderedPageBreak/>
              <w:t xml:space="preserve">-w Regulaminie konkursu (typ projektu zapisany w Regulaminie musi być zgodny i wynikać ze Szczegółowego opisu osi priorytetowych RPO WŁ na lata 2014-2020, określonego w Regulaminie konkursu), </w:t>
            </w:r>
          </w:p>
          <w:p w:rsidR="008F51D9" w:rsidRPr="00FC147A" w:rsidRDefault="008F51D9" w:rsidP="008F51D9">
            <w:pPr>
              <w:pStyle w:val="Default"/>
              <w:jc w:val="both"/>
              <w:rPr>
                <w:rFonts w:ascii="Arial Narrow" w:hAnsi="Arial Narrow"/>
                <w:sz w:val="20"/>
                <w:szCs w:val="20"/>
              </w:rPr>
            </w:pP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lastRenderedPageBreak/>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w szczególności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2356E9" w:rsidP="00F120EC">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 xml:space="preserve">Wytycznych w zakresie reguł dofinansowania z programów </w:t>
            </w:r>
            <w:r w:rsidRPr="00FC147A">
              <w:rPr>
                <w:rFonts w:ascii="Arial Narrow" w:hAnsi="Arial Narrow"/>
                <w:i/>
                <w:iCs/>
                <w:sz w:val="20"/>
                <w:szCs w:val="20"/>
              </w:rPr>
              <w:lastRenderedPageBreak/>
              <w:t>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2D27AB" w:rsidP="002D27AB">
            <w:pPr>
              <w:spacing w:after="0" w:line="240" w:lineRule="auto"/>
              <w:jc w:val="both"/>
              <w:rPr>
                <w:rFonts w:ascii="Arial Narrow" w:hAnsi="Arial Narrow"/>
                <w:sz w:val="20"/>
                <w:szCs w:val="20"/>
              </w:rPr>
            </w:pPr>
            <w:r>
              <w:rPr>
                <w:rFonts w:ascii="Arial Narrow" w:hAnsi="Arial Narrow"/>
                <w:sz w:val="20"/>
                <w:szCs w:val="20"/>
              </w:rPr>
              <w:t xml:space="preserve">- </w:t>
            </w:r>
            <w:r w:rsidR="001F4F5F" w:rsidRPr="00FC147A">
              <w:rPr>
                <w:rFonts w:ascii="Arial Narrow" w:hAnsi="Arial Narrow"/>
                <w:sz w:val="20"/>
                <w:szCs w:val="20"/>
              </w:rPr>
              <w:t>wnioskodawca nie jest przedsiębiorstwem w trudnej sytuacji w rozumieniu unijny</w:t>
            </w:r>
            <w:r>
              <w:rPr>
                <w:rFonts w:ascii="Arial Narrow" w:hAnsi="Arial Narrow"/>
                <w:sz w:val="20"/>
                <w:szCs w:val="20"/>
              </w:rPr>
              <w:t xml:space="preserve">ch przepisów dotyczących pomocy </w:t>
            </w:r>
            <w:r w:rsidR="001F4F5F" w:rsidRPr="00FC147A">
              <w:rPr>
                <w:rFonts w:ascii="Arial Narrow" w:hAnsi="Arial Narrow"/>
                <w:sz w:val="20"/>
                <w:szCs w:val="20"/>
              </w:rPr>
              <w:t xml:space="preserve">publicznej - definicja przedsiębiorstwa znajdującego się w trudnej sytuacji zamieszczona jest w pkt 24 </w:t>
            </w:r>
            <w:r w:rsidR="001F4F5F"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001F4F5F"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Default="002356E9" w:rsidP="00072056">
            <w:pPr>
              <w:spacing w:after="0" w:line="240" w:lineRule="auto"/>
              <w:rPr>
                <w:rFonts w:ascii="Arial Narrow" w:hAnsi="Arial Narrow"/>
                <w:sz w:val="20"/>
                <w:szCs w:val="20"/>
              </w:rPr>
            </w:pPr>
          </w:p>
          <w:p w:rsidR="002D27AB" w:rsidRPr="00FC147A" w:rsidRDefault="002D27AB"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Default="002356E9" w:rsidP="00072056">
            <w:pPr>
              <w:autoSpaceDE w:val="0"/>
              <w:autoSpaceDN w:val="0"/>
              <w:adjustRightInd w:val="0"/>
              <w:spacing w:after="0" w:line="240" w:lineRule="auto"/>
              <w:jc w:val="both"/>
              <w:rPr>
                <w:rFonts w:ascii="Arial Narrow" w:hAnsi="Arial Narrow" w:cs="Arial"/>
                <w:iCs/>
                <w:sz w:val="20"/>
                <w:szCs w:val="20"/>
              </w:rPr>
            </w:pPr>
          </w:p>
          <w:p w:rsidR="008E41E7" w:rsidRPr="00FC147A" w:rsidRDefault="008E41E7"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r w:rsidR="00FC170F" w:rsidRPr="00FC147A" w:rsidTr="00163E65">
        <w:trPr>
          <w:trHeight w:val="1316"/>
        </w:trPr>
        <w:tc>
          <w:tcPr>
            <w:tcW w:w="14034" w:type="dxa"/>
            <w:gridSpan w:val="4"/>
            <w:vAlign w:val="center"/>
          </w:tcPr>
          <w:p w:rsidR="00FC170F" w:rsidRPr="002D27AB" w:rsidRDefault="00FC170F" w:rsidP="00974147">
            <w:pPr>
              <w:pStyle w:val="Default"/>
              <w:rPr>
                <w:rFonts w:ascii="Arial Narrow" w:hAnsi="Arial Narrow"/>
                <w:b/>
                <w:sz w:val="20"/>
                <w:szCs w:val="20"/>
              </w:rPr>
            </w:pPr>
            <w:r w:rsidRPr="002D27AB">
              <w:rPr>
                <w:rFonts w:ascii="Arial Narrow" w:hAnsi="Arial Narrow"/>
                <w:b/>
                <w:sz w:val="20"/>
                <w:szCs w:val="20"/>
              </w:rPr>
              <w:lastRenderedPageBreak/>
              <w:t>DZIAŁANIE III.1 NISKOEMISYJNY TRANSPORT MIEJSKI -Projekty z zakresu taboru miejskiego</w:t>
            </w:r>
          </w:p>
        </w:tc>
      </w:tr>
      <w:tr w:rsidR="00974147" w:rsidRPr="00FC147A" w:rsidTr="00974147">
        <w:trPr>
          <w:trHeight w:val="1316"/>
        </w:trPr>
        <w:tc>
          <w:tcPr>
            <w:tcW w:w="567" w:type="dxa"/>
            <w:vAlign w:val="center"/>
          </w:tcPr>
          <w:p w:rsidR="00974147" w:rsidRDefault="008E41E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974147"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Pozytywny wpływ projektu na osoby z niepełnosprawnościami lub osoby z ograniczoną możliwością poruszania się</w:t>
            </w:r>
          </w:p>
        </w:tc>
        <w:tc>
          <w:tcPr>
            <w:tcW w:w="8789" w:type="dxa"/>
            <w:vAlign w:val="center"/>
          </w:tcPr>
          <w:p w:rsidR="00974147" w:rsidRPr="00974147" w:rsidRDefault="00FC170F" w:rsidP="001F4F5F">
            <w:pPr>
              <w:pStyle w:val="Default"/>
              <w:jc w:val="both"/>
              <w:rPr>
                <w:rFonts w:ascii="Arial Narrow" w:hAnsi="Arial Narrow"/>
                <w:sz w:val="20"/>
                <w:szCs w:val="20"/>
              </w:rPr>
            </w:pPr>
            <w:r w:rsidRPr="00FC170F">
              <w:rPr>
                <w:rFonts w:ascii="Arial Narrow" w:hAnsi="Arial Narrow"/>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–2020.We  wnioskach  dotyczących  zakupu  czy  modernizacji  taboru  należy  uwzględnić  zapisy  zgodne  z właściwymi przepisami prawa unijnego i krajowego.</w:t>
            </w:r>
          </w:p>
        </w:tc>
        <w:tc>
          <w:tcPr>
            <w:tcW w:w="2268" w:type="dxa"/>
            <w:vAlign w:val="center"/>
          </w:tcPr>
          <w:p w:rsidR="007E2702" w:rsidRPr="007E2702" w:rsidRDefault="007E2702" w:rsidP="007E2702">
            <w:pPr>
              <w:pStyle w:val="Default"/>
              <w:rPr>
                <w:rFonts w:ascii="Arial Narrow" w:hAnsi="Arial Narrow"/>
                <w:sz w:val="20"/>
                <w:szCs w:val="20"/>
              </w:rPr>
            </w:pPr>
            <w:r w:rsidRPr="007E2702">
              <w:rPr>
                <w:rFonts w:ascii="Arial Narrow" w:hAnsi="Arial Narrow"/>
                <w:sz w:val="20"/>
                <w:szCs w:val="20"/>
              </w:rPr>
              <w:t>Tak / nie</w:t>
            </w:r>
          </w:p>
          <w:p w:rsidR="00974147" w:rsidRPr="00974147" w:rsidRDefault="007E2702" w:rsidP="007E2702">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8E41E7" w:rsidP="008E41E7">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Powiązanie projektu z infrastrukturą tramwajową –dotyczy projektów, których przedmiotem jest tabor tramwajowy</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  ramach  kryterium  oceniane  będzie  powiązanie  projektu  z  infrastrukturą  tramwajową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8E41E7" w:rsidP="00072056">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niskoemisyjnej</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 xml:space="preserve">Warunkiem  uzyskania  wsparcia  będzie  przedstawienie  uprzednio  zaopiniowanego  pozytywnie    przez NFOŚiGW lub </w:t>
            </w:r>
            <w:proofErr w:type="spellStart"/>
            <w:r w:rsidRPr="00FC170F">
              <w:rPr>
                <w:rFonts w:ascii="Arial Narrow" w:hAnsi="Arial Narrow"/>
                <w:sz w:val="20"/>
                <w:szCs w:val="20"/>
              </w:rPr>
              <w:t>WFOŚiGW</w:t>
            </w:r>
            <w:proofErr w:type="spellEnd"/>
            <w:r w:rsidRPr="00FC170F">
              <w:rPr>
                <w:rFonts w:ascii="Arial Narrow" w:hAnsi="Arial Narrow"/>
                <w:sz w:val="20"/>
                <w:szCs w:val="20"/>
              </w:rPr>
              <w:t xml:space="preserve">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w:t>
            </w:r>
            <w:r>
              <w:t xml:space="preserve"> i</w:t>
            </w:r>
            <w:r w:rsidRPr="00FC170F">
              <w:rPr>
                <w:rFonts w:ascii="Arial Narrow" w:hAnsi="Arial Narrow"/>
                <w:sz w:val="20"/>
                <w:szCs w:val="20"/>
              </w:rPr>
              <w:t>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bl>
    <w:p w:rsidR="006E5CF7" w:rsidRPr="00FC147A" w:rsidRDefault="006E5CF7"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4B5374" w:rsidRDefault="004B537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72056" w:rsidRDefault="004B5374" w:rsidP="00072056">
      <w:pPr>
        <w:spacing w:after="0" w:line="240" w:lineRule="auto"/>
        <w:rPr>
          <w:rFonts w:ascii="Arial Narrow" w:hAnsi="Arial Narrow" w:cs="Tahoma"/>
          <w:b/>
          <w:sz w:val="20"/>
          <w:szCs w:val="20"/>
        </w:rPr>
      </w:pPr>
      <w:r>
        <w:rPr>
          <w:rFonts w:ascii="Arial Narrow" w:hAnsi="Arial Narrow" w:cs="Tahoma"/>
          <w:b/>
          <w:sz w:val="20"/>
          <w:szCs w:val="20"/>
        </w:rPr>
        <w:lastRenderedPageBreak/>
        <w:t xml:space="preserve">   </w:t>
      </w:r>
      <w:r w:rsidR="00072056" w:rsidRPr="00FC147A">
        <w:rPr>
          <w:rFonts w:ascii="Arial Narrow" w:hAnsi="Arial Narrow" w:cs="Tahoma"/>
          <w:b/>
          <w:sz w:val="20"/>
          <w:szCs w:val="20"/>
        </w:rPr>
        <w:t xml:space="preserve">KRYTERIA MERYTORYCZNE PUNKTOWE </w:t>
      </w:r>
    </w:p>
    <w:p w:rsidR="004B5374" w:rsidRPr="00FC147A" w:rsidRDefault="004B5374" w:rsidP="00072056">
      <w:pPr>
        <w:spacing w:after="0" w:line="240" w:lineRule="auto"/>
        <w:rPr>
          <w:rFonts w:ascii="Arial Narrow" w:hAnsi="Arial Narrow" w:cs="Tahoma"/>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w:t>
            </w:r>
            <w:proofErr w:type="spellStart"/>
            <w:r w:rsidRPr="00FC147A">
              <w:rPr>
                <w:rFonts w:ascii="Arial Narrow" w:hAnsi="Arial Narrow"/>
                <w:sz w:val="20"/>
                <w:szCs w:val="20"/>
              </w:rPr>
              <w:t>organizacyjno</w:t>
            </w:r>
            <w:proofErr w:type="spellEnd"/>
            <w:r w:rsidRPr="00FC147A">
              <w:rPr>
                <w:rFonts w:ascii="Arial Narrow" w:hAnsi="Arial Narrow"/>
                <w:sz w:val="20"/>
                <w:szCs w:val="20"/>
              </w:rPr>
              <w:t xml:space="preserve"> - </w:t>
            </w:r>
            <w:r w:rsidR="00E70A7E">
              <w:rPr>
                <w:rFonts w:ascii="Arial Narrow" w:hAnsi="Arial Narrow"/>
                <w:sz w:val="20"/>
                <w:szCs w:val="20"/>
              </w:rPr>
              <w:t xml:space="preserve"> </w:t>
            </w:r>
            <w:r w:rsidRPr="00FC147A">
              <w:rPr>
                <w:rFonts w:ascii="Arial Narrow" w:hAnsi="Arial Narrow"/>
                <w:sz w:val="20"/>
                <w:szCs w:val="20"/>
              </w:rPr>
              <w:t xml:space="preserve">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E70A7E" w:rsidRDefault="00CB1375" w:rsidP="00E70A7E">
            <w:pPr>
              <w:spacing w:after="0" w:line="240" w:lineRule="auto"/>
              <w:jc w:val="both"/>
              <w:rPr>
                <w:rFonts w:ascii="Arial Narrow" w:hAnsi="Arial Narrow"/>
                <w:sz w:val="20"/>
                <w:szCs w:val="20"/>
              </w:rPr>
            </w:pPr>
            <w:r w:rsidRPr="00FC147A">
              <w:rPr>
                <w:rFonts w:ascii="Arial Narrow" w:hAnsi="Arial Narrow"/>
                <w:sz w:val="20"/>
                <w:szCs w:val="20"/>
              </w:rPr>
              <w:t xml:space="preserve"> </w:t>
            </w:r>
            <w:r w:rsidR="00E70A7E" w:rsidRPr="00E70A7E">
              <w:rPr>
                <w:rFonts w:ascii="Arial Narrow" w:hAnsi="Arial Narrow"/>
                <w:sz w:val="20"/>
                <w:szCs w:val="20"/>
              </w:rPr>
              <w:t>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w:t>
            </w:r>
          </w:p>
          <w:p w:rsidR="00E70A7E" w:rsidRPr="00B21BCA" w:rsidRDefault="00E70A7E" w:rsidP="00E70A7E">
            <w:pPr>
              <w:spacing w:after="0" w:line="240" w:lineRule="auto"/>
              <w:jc w:val="both"/>
              <w:rPr>
                <w:rFonts w:ascii="Arial Narrow" w:hAnsi="Arial Narrow"/>
                <w:b/>
                <w:sz w:val="20"/>
                <w:szCs w:val="20"/>
              </w:rPr>
            </w:pPr>
            <w:r w:rsidRPr="00B21BCA">
              <w:rPr>
                <w:rFonts w:ascii="Arial Narrow" w:hAnsi="Arial Narrow"/>
                <w:b/>
                <w:sz w:val="20"/>
                <w:szCs w:val="20"/>
              </w:rPr>
              <w:t xml:space="preserve">  PUNKTACJA: </w:t>
            </w:r>
          </w:p>
          <w:p w:rsidR="00E70A7E" w:rsidRDefault="00E70A7E" w:rsidP="00E70A7E">
            <w:pPr>
              <w:spacing w:after="0" w:line="240" w:lineRule="auto"/>
              <w:jc w:val="both"/>
              <w:rPr>
                <w:rFonts w:ascii="Arial Narrow" w:hAnsi="Arial Narrow"/>
                <w:sz w:val="20"/>
                <w:szCs w:val="20"/>
              </w:rPr>
            </w:pPr>
            <w:r w:rsidRPr="00E70A7E">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E70A7E" w:rsidRDefault="00E70A7E" w:rsidP="00E70A7E">
            <w:pPr>
              <w:spacing w:after="0" w:line="240" w:lineRule="auto"/>
              <w:jc w:val="both"/>
              <w:rPr>
                <w:rFonts w:ascii="Arial Narrow" w:hAnsi="Arial Narrow"/>
                <w:sz w:val="20"/>
                <w:szCs w:val="20"/>
              </w:rPr>
            </w:pPr>
            <w:r w:rsidRPr="00E70A7E">
              <w:rPr>
                <w:rFonts w:ascii="Arial Narrow" w:hAnsi="Arial Narrow"/>
                <w:sz w:val="20"/>
                <w:szCs w:val="20"/>
              </w:rPr>
              <w:t xml:space="preserve">1 pkt -    projekty są adresowane do tej samej grupy docelowej lub tego samego terytorium, lub rozwiązują ten sam                 problem </w:t>
            </w:r>
          </w:p>
          <w:p w:rsidR="00E70A7E" w:rsidRDefault="00E70A7E" w:rsidP="00E70A7E">
            <w:pPr>
              <w:spacing w:after="0" w:line="240" w:lineRule="auto"/>
              <w:jc w:val="both"/>
              <w:rPr>
                <w:rFonts w:ascii="Arial Narrow" w:hAnsi="Arial Narrow"/>
                <w:sz w:val="20"/>
                <w:szCs w:val="20"/>
              </w:rPr>
            </w:pPr>
            <w:r w:rsidRPr="00E70A7E">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E70A7E" w:rsidRPr="00E70A7E" w:rsidRDefault="00E70A7E" w:rsidP="00E70A7E">
            <w:pPr>
              <w:spacing w:after="0" w:line="240" w:lineRule="auto"/>
              <w:jc w:val="both"/>
              <w:rPr>
                <w:rFonts w:ascii="Arial Narrow" w:hAnsi="Arial Narrow"/>
                <w:sz w:val="20"/>
                <w:szCs w:val="20"/>
              </w:rPr>
            </w:pPr>
            <w:r w:rsidRPr="00E70A7E">
              <w:rPr>
                <w:rFonts w:ascii="Arial Narrow" w:hAnsi="Arial Narrow"/>
                <w:sz w:val="20"/>
                <w:szCs w:val="20"/>
              </w:rPr>
              <w:t xml:space="preserve">1 pkt -    projekt jest elementem szerszej strategii realizowanej przez szereg projektów komplementarnych </w:t>
            </w:r>
          </w:p>
          <w:p w:rsidR="00E70A7E" w:rsidRPr="00E70A7E" w:rsidRDefault="00E70A7E" w:rsidP="00E70A7E">
            <w:pPr>
              <w:spacing w:after="0" w:line="240" w:lineRule="auto"/>
              <w:jc w:val="both"/>
              <w:rPr>
                <w:rFonts w:ascii="Arial Narrow" w:hAnsi="Arial Narrow"/>
                <w:sz w:val="20"/>
                <w:szCs w:val="20"/>
              </w:rPr>
            </w:pPr>
            <w:r w:rsidRPr="00E70A7E">
              <w:rPr>
                <w:rFonts w:ascii="Arial Narrow" w:hAnsi="Arial Narrow"/>
                <w:sz w:val="20"/>
                <w:szCs w:val="20"/>
              </w:rPr>
              <w:t xml:space="preserve"> </w:t>
            </w:r>
          </w:p>
          <w:p w:rsidR="00E70A7E" w:rsidRPr="00E70A7E" w:rsidRDefault="00E70A7E" w:rsidP="00E70A7E">
            <w:pPr>
              <w:spacing w:after="0" w:line="240" w:lineRule="auto"/>
              <w:jc w:val="both"/>
              <w:rPr>
                <w:rFonts w:ascii="Arial Narrow" w:hAnsi="Arial Narrow"/>
                <w:sz w:val="20"/>
                <w:szCs w:val="20"/>
              </w:rPr>
            </w:pPr>
            <w:r w:rsidRPr="00E70A7E">
              <w:rPr>
                <w:rFonts w:ascii="Arial Narrow" w:hAnsi="Arial Narrow"/>
                <w:sz w:val="20"/>
                <w:szCs w:val="20"/>
              </w:rPr>
              <w:t xml:space="preserve">Punkt będzie przyznawany za spełnienie jednego z wyżej przewidzianych komponentów. Uzyskane punkty podlegają sumowaniu. </w:t>
            </w:r>
          </w:p>
          <w:p w:rsidR="00E5263E" w:rsidRPr="003D5B5F" w:rsidRDefault="00E5263E" w:rsidP="00E70A7E">
            <w:pPr>
              <w:spacing w:after="0" w:line="240" w:lineRule="auto"/>
              <w:jc w:val="both"/>
              <w:rPr>
                <w:rFonts w:ascii="Arial Narrow" w:hAnsi="Arial Narrow" w:cs="Arial"/>
                <w:color w:val="000000"/>
                <w:sz w:val="20"/>
                <w:szCs w:val="20"/>
                <w:lang w:eastAsia="pl-PL"/>
              </w:rPr>
            </w:pP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2E032C" w:rsidRPr="002E032C">
              <w:rPr>
                <w:rFonts w:ascii="Arial Narrow" w:hAnsi="Arial Narrow"/>
                <w:sz w:val="20"/>
                <w:szCs w:val="20"/>
              </w:rPr>
              <w:t>Ocena w ramach tego kryterium nie będzie dokonywana w odniesieniu do projektów, w których zastosowano</w:t>
            </w:r>
            <w:r w:rsidR="002E032C">
              <w:rPr>
                <w:rFonts w:ascii="Arial Narrow" w:hAnsi="Arial Narrow"/>
                <w:sz w:val="20"/>
                <w:szCs w:val="20"/>
              </w:rPr>
              <w:t xml:space="preserve"> </w:t>
            </w:r>
            <w:r w:rsidR="002E032C" w:rsidRPr="002E032C">
              <w:rPr>
                <w:rFonts w:ascii="Arial Narrow" w:hAnsi="Arial Narrow"/>
                <w:sz w:val="20"/>
                <w:szCs w:val="20"/>
              </w:rPr>
              <w:t>model biznesowy ESCO.</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665D8A" w:rsidP="00615980">
            <w:pPr>
              <w:spacing w:line="240" w:lineRule="auto"/>
              <w:jc w:val="center"/>
              <w:rPr>
                <w:rFonts w:ascii="Arial Narrow" w:hAnsi="Arial Narrow" w:cs="Tahoma"/>
                <w:b/>
                <w:sz w:val="20"/>
                <w:szCs w:val="20"/>
              </w:rPr>
            </w:pPr>
            <w:r w:rsidRPr="00615980">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Arial"/>
          <w:sz w:val="20"/>
          <w:szCs w:val="20"/>
        </w:rPr>
      </w:pPr>
    </w:p>
    <w:p w:rsidR="0014777D" w:rsidRPr="00EA44AD" w:rsidRDefault="00EA44AD" w:rsidP="001645EA">
      <w:pPr>
        <w:spacing w:after="0" w:line="240" w:lineRule="auto"/>
        <w:rPr>
          <w:rFonts w:ascii="Arial Narrow" w:eastAsia="Calibri" w:hAnsi="Arial Narrow" w:cs="Arial"/>
          <w:b/>
          <w:sz w:val="20"/>
          <w:szCs w:val="20"/>
          <w:u w:val="single"/>
        </w:rPr>
      </w:pPr>
      <w:r w:rsidRPr="00EA44AD">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FC147A" w:rsidRDefault="00D0140F" w:rsidP="001645EA">
      <w:pPr>
        <w:spacing w:after="0" w:line="240" w:lineRule="auto"/>
        <w:rPr>
          <w:rFonts w:ascii="Arial Narrow" w:eastAsia="Calibri" w:hAnsi="Arial Narrow" w:cs="Arial"/>
          <w:sz w:val="20"/>
          <w:szCs w:val="20"/>
        </w:rPr>
      </w:pPr>
    </w:p>
    <w:p w:rsidR="00631C8B" w:rsidRDefault="00631C8B" w:rsidP="003B357A">
      <w:pPr>
        <w:spacing w:after="0" w:line="360" w:lineRule="auto"/>
        <w:jc w:val="both"/>
        <w:rPr>
          <w:rFonts w:ascii="Arial Narrow" w:eastAsia="Calibri" w:hAnsi="Arial Narrow" w:cs="Arial"/>
          <w:b/>
          <w:sz w:val="20"/>
          <w:szCs w:val="20"/>
          <w:u w:val="single"/>
        </w:rPr>
      </w:pPr>
    </w:p>
    <w:p w:rsidR="00631C8B" w:rsidRDefault="00631C8B" w:rsidP="003B357A">
      <w:pPr>
        <w:spacing w:after="0" w:line="360" w:lineRule="auto"/>
        <w:jc w:val="both"/>
        <w:rPr>
          <w:rFonts w:ascii="Arial Narrow" w:eastAsia="Calibri" w:hAnsi="Arial Narrow" w:cs="Arial"/>
          <w:b/>
          <w:sz w:val="20"/>
          <w:szCs w:val="20"/>
          <w:u w:val="single"/>
        </w:rPr>
      </w:pPr>
    </w:p>
    <w:p w:rsidR="007E51DA" w:rsidRDefault="007E51DA" w:rsidP="003B357A">
      <w:pPr>
        <w:spacing w:after="0" w:line="360" w:lineRule="auto"/>
        <w:jc w:val="both"/>
        <w:rPr>
          <w:rFonts w:ascii="Arial Narrow" w:eastAsia="Calibri" w:hAnsi="Arial Narrow" w:cs="Arial"/>
          <w:b/>
          <w:sz w:val="20"/>
          <w:szCs w:val="20"/>
          <w:u w:val="single"/>
        </w:rPr>
      </w:pPr>
    </w:p>
    <w:p w:rsidR="002A57D5" w:rsidRDefault="00615980" w:rsidP="003B357A">
      <w:pPr>
        <w:spacing w:after="0" w:line="360" w:lineRule="auto"/>
        <w:jc w:val="both"/>
        <w:rPr>
          <w:rFonts w:ascii="Arial Narrow" w:eastAsia="Calibri" w:hAnsi="Arial Narrow" w:cs="Arial"/>
          <w:b/>
          <w:sz w:val="20"/>
          <w:szCs w:val="20"/>
          <w:u w:val="single"/>
        </w:rPr>
      </w:pPr>
      <w:r w:rsidRPr="00615980">
        <w:rPr>
          <w:rFonts w:ascii="Arial Narrow" w:eastAsia="Calibri" w:hAnsi="Arial Narrow" w:cs="Arial"/>
          <w:b/>
          <w:sz w:val="20"/>
          <w:szCs w:val="20"/>
          <w:u w:val="single"/>
        </w:rPr>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7E51DA" w:rsidRPr="00FC147A" w:rsidTr="001F6232">
        <w:trPr>
          <w:trHeight w:val="353"/>
        </w:trPr>
        <w:tc>
          <w:tcPr>
            <w:tcW w:w="567"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7E51DA" w:rsidRPr="002A57D5" w:rsidTr="001F6232">
        <w:trPr>
          <w:trHeight w:val="411"/>
        </w:trPr>
        <w:tc>
          <w:tcPr>
            <w:tcW w:w="567" w:type="dxa"/>
            <w:vAlign w:val="center"/>
          </w:tcPr>
          <w:p w:rsidR="007E51DA" w:rsidRPr="002A57D5" w:rsidRDefault="007E51DA" w:rsidP="001F6232">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7E51DA" w:rsidRPr="002A57D5"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Efektywność kosztowa projektu</w:t>
            </w:r>
          </w:p>
        </w:tc>
        <w:tc>
          <w:tcPr>
            <w:tcW w:w="1134"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7E51DA" w:rsidRPr="007E51DA">
              <w:rPr>
                <w:rFonts w:ascii="Arial Narrow" w:hAnsi="Arial Narrow" w:cs="Tahoma"/>
                <w:sz w:val="20"/>
                <w:szCs w:val="20"/>
              </w:rPr>
              <w:t>-4</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Efektywność kosztowa obliczona jako iloraz planowanej</w:t>
            </w:r>
            <w:r>
              <w:rPr>
                <w:rFonts w:ascii="Arial Narrow" w:hAnsi="Arial Narrow" w:cs="Tahoma"/>
                <w:sz w:val="20"/>
                <w:szCs w:val="20"/>
              </w:rPr>
              <w:t xml:space="preserve"> </w:t>
            </w:r>
            <w:r w:rsidRPr="00615980">
              <w:rPr>
                <w:rFonts w:ascii="Arial Narrow" w:hAnsi="Arial Narrow" w:cs="Tahoma"/>
                <w:sz w:val="20"/>
                <w:szCs w:val="20"/>
              </w:rPr>
              <w:t>kwoty wydatków kwalifiko</w:t>
            </w:r>
            <w:r>
              <w:rPr>
                <w:rFonts w:ascii="Arial Narrow" w:hAnsi="Arial Narrow" w:cs="Tahoma"/>
                <w:sz w:val="20"/>
                <w:szCs w:val="20"/>
              </w:rPr>
              <w:t xml:space="preserve">walnych i pojemności zakupionego </w:t>
            </w:r>
            <w:r w:rsidRPr="00615980">
              <w:rPr>
                <w:rFonts w:ascii="Arial Narrow" w:hAnsi="Arial Narrow" w:cs="Tahoma"/>
                <w:sz w:val="20"/>
                <w:szCs w:val="20"/>
              </w:rPr>
              <w:t>lub zmodernizowanego taboru.</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Ocena efektywności kosztowej pozwoli na rankingowanie inwestycji.</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Punktacja w ramach kryterium będzie przyznawana wg następujących zasad: nr rankingowy każdego projektu na</w:t>
            </w:r>
            <w:r>
              <w:rPr>
                <w:rFonts w:ascii="Arial Narrow" w:hAnsi="Arial Narrow" w:cs="Tahoma"/>
                <w:sz w:val="20"/>
                <w:szCs w:val="20"/>
              </w:rPr>
              <w:t xml:space="preserve"> </w:t>
            </w:r>
            <w:r w:rsidRPr="00615980">
              <w:rPr>
                <w:rFonts w:ascii="Arial Narrow" w:hAnsi="Arial Narrow" w:cs="Tahoma"/>
                <w:sz w:val="20"/>
                <w:szCs w:val="20"/>
              </w:rPr>
              <w:t xml:space="preserve">liście ułożonej według wielkości efektywności kosztowej dzielimy przez liczbę projektów.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 xml:space="preserve">W przypadku, gdy </w:t>
            </w:r>
            <w:r>
              <w:rPr>
                <w:rFonts w:ascii="Arial Narrow" w:hAnsi="Arial Narrow" w:cs="Tahoma"/>
                <w:sz w:val="20"/>
                <w:szCs w:val="20"/>
              </w:rPr>
              <w:t>wynik zawiera się w przedziale:</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0 –0,25 włącznie -projekt otrzymuje 4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0,25 –0,5 włącznie -projekt otrzymuje 3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0,5 –0,75 włączn</w:t>
            </w:r>
            <w:r>
              <w:rPr>
                <w:rFonts w:ascii="Arial Narrow" w:hAnsi="Arial Narrow" w:cs="Tahoma"/>
                <w:sz w:val="20"/>
                <w:szCs w:val="20"/>
              </w:rPr>
              <w:t>ie -projekt otrzymuje 2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0,75 –1 -projekt otrzymuje 1 punkt.</w:t>
            </w:r>
            <w:r>
              <w:rPr>
                <w:rFonts w:ascii="Arial Narrow" w:hAnsi="Arial Narrow" w:cs="Tahoma"/>
                <w:sz w:val="20"/>
                <w:szCs w:val="20"/>
              </w:rPr>
              <w:t xml:space="preserve"> </w:t>
            </w:r>
          </w:p>
          <w:p w:rsidR="00F13F3D" w:rsidRPr="002A57D5"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W przypadku, gdy ocenie podlegać będą mniej niż 4 projekty, punktacja zostanie przydzielona odpowiednio od 1 do 3 punktów w zależności od efektywności kosztowej projektu.</w:t>
            </w:r>
          </w:p>
        </w:tc>
      </w:tr>
      <w:tr w:rsidR="007E51DA" w:rsidRPr="002A57D5" w:rsidTr="001F6232">
        <w:trPr>
          <w:trHeight w:val="411"/>
        </w:trPr>
        <w:tc>
          <w:tcPr>
            <w:tcW w:w="567" w:type="dxa"/>
            <w:vAlign w:val="center"/>
          </w:tcPr>
          <w:p w:rsidR="007E51DA"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7E51DA" w:rsidRPr="007E51DA"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Stopień wpływu projektu na bezpieczeństwo użytkowników</w:t>
            </w:r>
            <w:r>
              <w:rPr>
                <w:rFonts w:ascii="Arial Narrow" w:hAnsi="Arial Narrow" w:cs="Tahoma"/>
                <w:sz w:val="20"/>
                <w:szCs w:val="20"/>
              </w:rPr>
              <w:t xml:space="preserve"> </w:t>
            </w:r>
            <w:r w:rsidRPr="00615980">
              <w:rPr>
                <w:rFonts w:ascii="Arial Narrow" w:hAnsi="Arial Narrow" w:cs="Tahoma"/>
                <w:sz w:val="20"/>
                <w:szCs w:val="20"/>
              </w:rPr>
              <w:t>taboru</w:t>
            </w:r>
          </w:p>
        </w:tc>
        <w:tc>
          <w:tcPr>
            <w:tcW w:w="1134"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F13F3D" w:rsidRPr="00F13F3D">
              <w:rPr>
                <w:rFonts w:ascii="Arial Narrow" w:hAnsi="Arial Narrow" w:cs="Tahoma"/>
                <w:sz w:val="20"/>
                <w:szCs w:val="20"/>
              </w:rPr>
              <w:t>-3</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Ocenie podlegać będzie w jakim stopniu ulegnie poprawie bezpieczeństwo użytkowników w zakupionym lub zmodernizowanym taborze.</w:t>
            </w:r>
          </w:p>
          <w:p w:rsidR="00615980" w:rsidRPr="00171636" w:rsidRDefault="00615980" w:rsidP="00615980">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1 pkt -projekt zakłada zastosowanie jednego rozwiązania zwiększającego bezpieczeństwo użytkowników</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2 pkt -projekt zakłada zastosowanie dwóch rozwiązań zwiększających bezpieczeństwo użytkowników</w:t>
            </w:r>
          </w:p>
          <w:p w:rsidR="00F13F3D" w:rsidRPr="007E51DA"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3 pkt -projekt zakłada zastosowanie więcej niż dwóch rozwiązań zwiększających bezpieczeństwo użytkowników</w:t>
            </w:r>
          </w:p>
        </w:tc>
      </w:tr>
      <w:tr w:rsidR="00F13F3D" w:rsidRPr="002A57D5" w:rsidTr="001F6232">
        <w:trPr>
          <w:trHeight w:val="411"/>
        </w:trPr>
        <w:tc>
          <w:tcPr>
            <w:tcW w:w="567" w:type="dxa"/>
            <w:vAlign w:val="center"/>
          </w:tcPr>
          <w:p w:rsidR="00F13F3D"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F13F3D" w:rsidRPr="00F13F3D" w:rsidRDefault="00615980" w:rsidP="00F13F3D">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Wiek taboru podlegającego wymianie</w:t>
            </w:r>
          </w:p>
          <w:p w:rsidR="00F13F3D" w:rsidRPr="00F13F3D" w:rsidRDefault="00F13F3D" w:rsidP="00F13F3D">
            <w:pPr>
              <w:autoSpaceDE w:val="0"/>
              <w:autoSpaceDN w:val="0"/>
              <w:adjustRightInd w:val="0"/>
              <w:spacing w:after="0" w:line="240" w:lineRule="auto"/>
              <w:rPr>
                <w:rFonts w:ascii="Arial Narrow" w:hAnsi="Arial Narrow" w:cs="Tahoma"/>
                <w:sz w:val="20"/>
                <w:szCs w:val="20"/>
              </w:rPr>
            </w:pPr>
          </w:p>
        </w:tc>
        <w:tc>
          <w:tcPr>
            <w:tcW w:w="1134"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1-3</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3</w:t>
            </w:r>
          </w:p>
        </w:tc>
        <w:tc>
          <w:tcPr>
            <w:tcW w:w="8647" w:type="dxa"/>
            <w:vAlign w:val="center"/>
          </w:tcPr>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W ramach tego kryterium punkty przyznawane będą w zależności od wieku taboru podlegającego wymianie.</w:t>
            </w:r>
          </w:p>
          <w:p w:rsidR="00EC54F9" w:rsidRPr="00171636" w:rsidRDefault="00615980"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1 pkt -dla taboru poniżej 10 lat</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2 pkt -dla taboru od 20 do 10 lat</w:t>
            </w:r>
          </w:p>
          <w:p w:rsidR="00F13F3D" w:rsidRPr="00F13F3D"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3 pkt -dla taboru powyżej 20 lat</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Wpływ projektu na stan środowiska naturalnego (redukcję emisji spalin)</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Oceniany będzie wpływ projektu na poprawę stanu środowiska naturalnego i wspieranie przechodzenia na bardziej ekologiczne i zrównoważone systemy transportowe w miastach. Ocenie podlegać będzie</w:t>
            </w:r>
            <w:r>
              <w:rPr>
                <w:rFonts w:ascii="Arial Narrow" w:hAnsi="Arial Narrow" w:cs="Tahoma"/>
                <w:sz w:val="20"/>
                <w:szCs w:val="20"/>
              </w:rPr>
              <w:t xml:space="preserve"> </w:t>
            </w:r>
            <w:r w:rsidRPr="00EC54F9">
              <w:rPr>
                <w:rFonts w:ascii="Arial Narrow" w:hAnsi="Arial Narrow" w:cs="Tahoma"/>
                <w:sz w:val="20"/>
                <w:szCs w:val="20"/>
              </w:rPr>
              <w:t>przewidywana</w:t>
            </w:r>
            <w:r>
              <w:rPr>
                <w:rFonts w:ascii="Arial Narrow" w:hAnsi="Arial Narrow" w:cs="Tahoma"/>
                <w:sz w:val="20"/>
                <w:szCs w:val="20"/>
              </w:rPr>
              <w:t xml:space="preserve"> </w:t>
            </w:r>
            <w:r w:rsidRPr="00EC54F9">
              <w:rPr>
                <w:rFonts w:ascii="Arial Narrow" w:hAnsi="Arial Narrow" w:cs="Tahoma"/>
                <w:sz w:val="20"/>
                <w:szCs w:val="20"/>
              </w:rPr>
              <w:t>redukcja średniej wartości emisji spalin obliczona dla aktualnie posiadanego taboru względem taboru objętego projektem.</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w:t>
            </w:r>
            <w:r>
              <w:rPr>
                <w:rFonts w:ascii="Arial Narrow" w:hAnsi="Arial Narrow" w:cs="Tahoma"/>
                <w:sz w:val="20"/>
                <w:szCs w:val="20"/>
              </w:rPr>
              <w:t xml:space="preserve"> </w:t>
            </w:r>
            <w:r w:rsidRPr="00EC54F9">
              <w:rPr>
                <w:rFonts w:ascii="Arial Narrow" w:hAnsi="Arial Narrow" w:cs="Tahoma"/>
                <w:sz w:val="20"/>
                <w:szCs w:val="20"/>
              </w:rPr>
              <w:t>poniżej 10 %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 o 10% i więcej</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 zwiększenie liczby osób korzystających z miejskiego transportu publicznego objętego projektem o mniej niż 2%</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lastRenderedPageBreak/>
              <w:t>2 pkt -projekt zakłada zwiększenie liczby osób korzystających z miejskiego transportu publicznego objętego projektem w przedziale od 2% do 10%</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3 pkt -projekt zakłada zwiększenie liczby osób korzystających z miejskiego transportu publicznego objętego projektem o ponad 10%</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6</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Alternatywne systemy</w:t>
            </w:r>
            <w:r>
              <w:rPr>
                <w:rFonts w:ascii="Arial Narrow" w:hAnsi="Arial Narrow" w:cs="Tahoma"/>
                <w:sz w:val="20"/>
                <w:szCs w:val="20"/>
              </w:rPr>
              <w:t xml:space="preserve"> napędowe</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 xml:space="preserve">Ocenie podlegać będzie zakup autobusów nisko-i </w:t>
            </w:r>
            <w:proofErr w:type="spellStart"/>
            <w:r w:rsidRPr="00EC54F9">
              <w:rPr>
                <w:rFonts w:ascii="Arial Narrow" w:hAnsi="Arial Narrow" w:cs="Tahoma"/>
                <w:sz w:val="20"/>
                <w:szCs w:val="20"/>
              </w:rPr>
              <w:t>bezemisyjnych</w:t>
            </w:r>
            <w:proofErr w:type="spellEnd"/>
            <w:r w:rsidRPr="00EC54F9">
              <w:rPr>
                <w:rFonts w:ascii="Arial Narrow" w:hAnsi="Arial Narrow" w:cs="Tahoma"/>
                <w:sz w:val="20"/>
                <w:szCs w:val="20"/>
              </w:rPr>
              <w:t xml:space="preserve"> zasilanych paliwem alternatywnym w rozumieniu</w:t>
            </w:r>
            <w:r>
              <w:rPr>
                <w:rFonts w:ascii="Arial Narrow" w:hAnsi="Arial Narrow" w:cs="Tahoma"/>
                <w:sz w:val="20"/>
                <w:szCs w:val="20"/>
              </w:rPr>
              <w:t xml:space="preserve"> </w:t>
            </w:r>
            <w:r w:rsidRPr="00EC54F9">
              <w:rPr>
                <w:rFonts w:ascii="Arial Narrow" w:hAnsi="Arial Narrow" w:cs="Tahoma"/>
                <w:sz w:val="20"/>
                <w:szCs w:val="20"/>
              </w:rPr>
              <w:t>przedstawionym w krajowych ramach polityki rozwoju infrastruktury paliw alternatywnych. Analogiczne zasady stosowane będą w przypadku projektów dotyczących modernizacji autobusów.</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zakłada zakup/modernizację pojazdów niskoemisyjnych</w:t>
            </w:r>
            <w:r>
              <w:rPr>
                <w:rFonts w:ascii="Arial Narrow" w:hAnsi="Arial Narrow" w:cs="Tahoma"/>
                <w:sz w:val="20"/>
                <w:szCs w:val="20"/>
              </w:rPr>
              <w:t xml:space="preserve"> </w:t>
            </w:r>
            <w:r w:rsidRPr="00EC54F9">
              <w:rPr>
                <w:rFonts w:ascii="Arial Narrow" w:hAnsi="Arial Narrow" w:cs="Tahoma"/>
                <w:sz w:val="20"/>
                <w:szCs w:val="20"/>
              </w:rPr>
              <w:t>lub zakup/ modernizacja takich pojazdów stanowi mniej niż 50% nabywanego lub modernizowanego w ramach projektu taboru autobusowego</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 xml:space="preserve">1 pkt -projekt zakłada zakup/modernizację pojazdów </w:t>
            </w:r>
            <w:proofErr w:type="spellStart"/>
            <w:r w:rsidRPr="00EC54F9">
              <w:rPr>
                <w:rFonts w:ascii="Arial Narrow" w:hAnsi="Arial Narrow" w:cs="Tahoma"/>
                <w:sz w:val="20"/>
                <w:szCs w:val="20"/>
              </w:rPr>
              <w:t>bezemisyjnych</w:t>
            </w:r>
            <w:proofErr w:type="spellEnd"/>
            <w:r w:rsidRPr="00EC54F9">
              <w:rPr>
                <w:rFonts w:ascii="Arial Narrow" w:hAnsi="Arial Narrow" w:cs="Tahoma"/>
                <w:sz w:val="20"/>
                <w:szCs w:val="20"/>
              </w:rPr>
              <w:t>–stanowią one co najmniej50% nabywanego lub modernizowanego w ramach projektu taboru autobusowego</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inwestycji w tabor szynowy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promuje transport szynowy (tramwaje), który w ramach projektu będzie rozwijany. Ocenie podlegać będą inwestycje w tabor szynowy w ramach projektu.</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przewiduje inwestycji w tabor szynowy</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inwestycję w tabor szynowy</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infrastruktury</w:t>
            </w:r>
            <w:r>
              <w:rPr>
                <w:rFonts w:ascii="Arial Narrow" w:hAnsi="Arial Narrow" w:cs="Tahoma"/>
                <w:sz w:val="20"/>
                <w:szCs w:val="20"/>
              </w:rPr>
              <w:t xml:space="preserve"> </w:t>
            </w:r>
            <w:r w:rsidRPr="00EC54F9">
              <w:rPr>
                <w:rFonts w:ascii="Arial Narrow" w:hAnsi="Arial Narrow" w:cs="Tahoma"/>
                <w:sz w:val="20"/>
                <w:szCs w:val="20"/>
              </w:rPr>
              <w:t>do obsługi taboru</w:t>
            </w:r>
            <w:r>
              <w:rPr>
                <w:rFonts w:ascii="Arial Narrow" w:hAnsi="Arial Narrow" w:cs="Tahoma"/>
                <w:sz w:val="20"/>
                <w:szCs w:val="20"/>
              </w:rPr>
              <w:t xml:space="preserve"> </w:t>
            </w:r>
            <w:r w:rsidRPr="00EC54F9">
              <w:rPr>
                <w:rFonts w:ascii="Arial Narrow" w:hAnsi="Arial Narrow" w:cs="Tahoma"/>
                <w:sz w:val="20"/>
                <w:szCs w:val="20"/>
              </w:rPr>
              <w:t>niskoemisyjnego</w:t>
            </w:r>
            <w:r>
              <w:rPr>
                <w:rFonts w:ascii="Arial Narrow" w:hAnsi="Arial Narrow" w:cs="Tahoma"/>
                <w:sz w:val="20"/>
                <w:szCs w:val="20"/>
              </w:rPr>
              <w:t xml:space="preserve"> </w:t>
            </w:r>
            <w:r w:rsidRPr="00EC54F9">
              <w:rPr>
                <w:rFonts w:ascii="Arial Narrow" w:hAnsi="Arial Narrow" w:cs="Tahoma"/>
                <w:sz w:val="20"/>
                <w:szCs w:val="20"/>
              </w:rPr>
              <w:t xml:space="preserve">lub </w:t>
            </w:r>
            <w:proofErr w:type="spellStart"/>
            <w:r w:rsidRPr="00EC54F9">
              <w:rPr>
                <w:rFonts w:ascii="Arial Narrow" w:hAnsi="Arial Narrow" w:cs="Tahoma"/>
                <w:sz w:val="20"/>
                <w:szCs w:val="20"/>
              </w:rPr>
              <w:t>bezemisyjnego</w:t>
            </w:r>
            <w:proofErr w:type="spellEnd"/>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podlegać będzie, czy w ramach projektu</w:t>
            </w:r>
            <w:r>
              <w:rPr>
                <w:rFonts w:ascii="Arial Narrow" w:hAnsi="Arial Narrow" w:cs="Tahoma"/>
                <w:sz w:val="20"/>
                <w:szCs w:val="20"/>
              </w:rPr>
              <w:t xml:space="preserve"> </w:t>
            </w:r>
            <w:r w:rsidRPr="00EC54F9">
              <w:rPr>
                <w:rFonts w:ascii="Arial Narrow" w:hAnsi="Arial Narrow" w:cs="Tahoma"/>
                <w:sz w:val="20"/>
                <w:szCs w:val="20"/>
              </w:rPr>
              <w:t>przewidywany jest</w:t>
            </w:r>
            <w:r>
              <w:rPr>
                <w:rFonts w:ascii="Arial Narrow" w:hAnsi="Arial Narrow" w:cs="Tahoma"/>
                <w:sz w:val="20"/>
                <w:szCs w:val="20"/>
              </w:rPr>
              <w:t xml:space="preserve"> </w:t>
            </w:r>
            <w:r w:rsidRPr="00EC54F9">
              <w:rPr>
                <w:rFonts w:ascii="Arial Narrow" w:hAnsi="Arial Narrow" w:cs="Tahoma"/>
                <w:sz w:val="20"/>
                <w:szCs w:val="20"/>
              </w:rPr>
              <w:t>zakup, budowa lub przebudowa 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 xml:space="preserve">lub </w:t>
            </w:r>
            <w:proofErr w:type="spellStart"/>
            <w:r w:rsidRPr="00EC54F9">
              <w:rPr>
                <w:rFonts w:ascii="Arial Narrow" w:hAnsi="Arial Narrow" w:cs="Tahoma"/>
                <w:sz w:val="20"/>
                <w:szCs w:val="20"/>
              </w:rPr>
              <w:t>bezemisyjnego</w:t>
            </w:r>
            <w:proofErr w:type="spellEnd"/>
            <w:r>
              <w:rPr>
                <w:rFonts w:ascii="Arial Narrow" w:hAnsi="Arial Narrow" w:cs="Tahoma"/>
                <w:sz w:val="20"/>
                <w:szCs w:val="20"/>
              </w:rPr>
              <w:t xml:space="preserve"> </w:t>
            </w:r>
            <w:r w:rsidRPr="00EC54F9">
              <w:rPr>
                <w:rFonts w:ascii="Arial Narrow" w:hAnsi="Arial Narrow" w:cs="Tahoma"/>
                <w:sz w:val="20"/>
                <w:szCs w:val="20"/>
              </w:rPr>
              <w:t>(np. zaplecze techniczne do obsługi taboru w zajezdni, instalacja do dystrybucji ekologicznych nośników energii).</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0pkt -projekt nie przewiduje</w:t>
            </w:r>
            <w:r>
              <w:rPr>
                <w:rFonts w:ascii="Arial Narrow" w:hAnsi="Arial Narrow" w:cs="Tahoma"/>
                <w:sz w:val="20"/>
                <w:szCs w:val="20"/>
              </w:rPr>
              <w:t xml:space="preserve"> </w:t>
            </w:r>
            <w:r w:rsidRPr="00EC54F9">
              <w:rPr>
                <w:rFonts w:ascii="Arial Narrow" w:hAnsi="Arial Narrow" w:cs="Tahoma"/>
                <w:sz w:val="20"/>
                <w:szCs w:val="20"/>
              </w:rPr>
              <w:t>zakupu, budowy</w:t>
            </w:r>
            <w:r>
              <w:rPr>
                <w:rFonts w:ascii="Arial Narrow" w:hAnsi="Arial Narrow" w:cs="Tahoma"/>
                <w:sz w:val="20"/>
                <w:szCs w:val="20"/>
              </w:rPr>
              <w:t xml:space="preserve"> </w:t>
            </w:r>
            <w:r w:rsidRPr="00EC54F9">
              <w:rPr>
                <w:rFonts w:ascii="Arial Narrow" w:hAnsi="Arial Narrow" w:cs="Tahoma"/>
                <w:sz w:val="20"/>
                <w:szCs w:val="20"/>
              </w:rPr>
              <w:t>lub przebudowy</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 xml:space="preserve">lub </w:t>
            </w:r>
            <w:proofErr w:type="spellStart"/>
            <w:r w:rsidRPr="00EC54F9">
              <w:rPr>
                <w:rFonts w:ascii="Arial Narrow" w:hAnsi="Arial Narrow" w:cs="Tahoma"/>
                <w:sz w:val="20"/>
                <w:szCs w:val="20"/>
              </w:rPr>
              <w:t>bezemisyjnego</w:t>
            </w:r>
            <w:proofErr w:type="spellEnd"/>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zakup, budowę</w:t>
            </w:r>
            <w:r>
              <w:rPr>
                <w:rFonts w:ascii="Arial Narrow" w:hAnsi="Arial Narrow" w:cs="Tahoma"/>
                <w:sz w:val="20"/>
                <w:szCs w:val="20"/>
              </w:rPr>
              <w:t xml:space="preserve"> </w:t>
            </w:r>
            <w:r w:rsidRPr="00EC54F9">
              <w:rPr>
                <w:rFonts w:ascii="Arial Narrow" w:hAnsi="Arial Narrow" w:cs="Tahoma"/>
                <w:sz w:val="20"/>
                <w:szCs w:val="20"/>
              </w:rPr>
              <w:t>lub przebudowę</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w:t>
            </w:r>
            <w:r>
              <w:rPr>
                <w:rFonts w:ascii="Arial Narrow" w:hAnsi="Arial Narrow" w:cs="Tahoma"/>
                <w:sz w:val="20"/>
                <w:szCs w:val="20"/>
              </w:rPr>
              <w:t xml:space="preserve"> </w:t>
            </w:r>
            <w:proofErr w:type="spellStart"/>
            <w:r w:rsidRPr="00EC54F9">
              <w:rPr>
                <w:rFonts w:ascii="Arial Narrow" w:hAnsi="Arial Narrow" w:cs="Tahoma"/>
                <w:sz w:val="20"/>
                <w:szCs w:val="20"/>
              </w:rPr>
              <w:t>bezemisyjnego</w:t>
            </w:r>
            <w:proofErr w:type="spellEnd"/>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jest projektem rewitalizacyjnym(nie dotyczy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służy  ocenie,  czy  projekt  jest  projektem  rewitalizacyjnym  w  rozumieniu Wytycznych   w</w:t>
            </w:r>
            <w:r>
              <w:rPr>
                <w:rFonts w:ascii="Arial Narrow" w:hAnsi="Arial Narrow" w:cs="Tahoma"/>
                <w:sz w:val="20"/>
                <w:szCs w:val="20"/>
              </w:rPr>
              <w:t xml:space="preserve"> </w:t>
            </w:r>
            <w:r w:rsidRPr="00EC54F9">
              <w:rPr>
                <w:rFonts w:ascii="Arial Narrow" w:hAnsi="Arial Narrow" w:cs="Tahoma"/>
                <w:sz w:val="20"/>
                <w:szCs w:val="20"/>
              </w:rPr>
              <w:t>zakresie rewitalizacji  w  programach  operacyjnych  na  lata  2014-2020, w tym wynika z obowiązującego (na dzień składania wniosku o dofinansowanie) dla danej gminy programu rewitalizacji, opracowanego zgodnie z ww. Wytycznymi.</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projektem rewitalizacyjnym w rozumieniu ww. Wytycznych,</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jest projektem rewitalizacyjnym w rozumieniu ww. Wytycznych.</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Odziaływanie projektu na</w:t>
            </w:r>
            <w:r>
              <w:rPr>
                <w:rFonts w:ascii="Arial Narrow" w:hAnsi="Arial Narrow" w:cs="Tahoma"/>
                <w:sz w:val="20"/>
                <w:szCs w:val="20"/>
              </w:rPr>
              <w:t xml:space="preserve"> </w:t>
            </w:r>
            <w:r w:rsidRPr="00EC54F9">
              <w:rPr>
                <w:rFonts w:ascii="Arial Narrow" w:hAnsi="Arial Narrow" w:cs="Tahoma"/>
                <w:sz w:val="20"/>
                <w:szCs w:val="20"/>
              </w:rPr>
              <w:t>OSI (nie dotyczy poddziałań</w:t>
            </w:r>
            <w:r>
              <w:rPr>
                <w:rFonts w:ascii="Arial Narrow" w:hAnsi="Arial Narrow" w:cs="Tahoma"/>
                <w:sz w:val="20"/>
                <w:szCs w:val="20"/>
              </w:rPr>
              <w:t xml:space="preserve"> </w:t>
            </w:r>
            <w:proofErr w:type="spellStart"/>
            <w:r w:rsidRPr="00EC54F9">
              <w:rPr>
                <w:rFonts w:ascii="Arial Narrow" w:hAnsi="Arial Narrow" w:cs="Tahoma"/>
                <w:sz w:val="20"/>
                <w:szCs w:val="20"/>
              </w:rPr>
              <w:t>ZITi</w:t>
            </w:r>
            <w:proofErr w:type="spellEnd"/>
            <w:r w:rsidRPr="00EC54F9">
              <w:rPr>
                <w:rFonts w:ascii="Arial Narrow" w:hAnsi="Arial Narrow" w:cs="Tahoma"/>
                <w:sz w:val="20"/>
                <w:szCs w:val="20"/>
              </w:rPr>
              <w:t xml:space="preserve">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 czy projekt realizowany jest na terenie Obszarów Strategicznej Interwencji (OSI) oraz czy projekt wpisuje się w strategiczne kierunki działań wskazane w Strategii Rozwoju Województwa Łódzkiego 2020.</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realizowany jest na terenie OSI i wpisuje się w strategiczne kierunki działań dla danego OSI</w:t>
            </w:r>
          </w:p>
          <w:p w:rsidR="00163E65"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realizowany jest na terenie OSI</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realizowany na terenie OSI</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realizuje wskaźnik z ram wykonania inny niż finansowy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W ramach kryterium ocenie podlegać będzie czy</w:t>
            </w:r>
            <w:r>
              <w:rPr>
                <w:rFonts w:ascii="Arial Narrow" w:hAnsi="Arial Narrow" w:cs="Tahoma"/>
                <w:sz w:val="20"/>
                <w:szCs w:val="20"/>
              </w:rPr>
              <w:t xml:space="preserve"> </w:t>
            </w:r>
            <w:r w:rsidRPr="00EC54F9">
              <w:rPr>
                <w:rFonts w:ascii="Arial Narrow" w:hAnsi="Arial Narrow" w:cs="Tahoma"/>
                <w:sz w:val="20"/>
                <w:szCs w:val="20"/>
              </w:rPr>
              <w:t>w ramach</w:t>
            </w:r>
            <w:r>
              <w:rPr>
                <w:rFonts w:ascii="Arial Narrow" w:hAnsi="Arial Narrow" w:cs="Tahoma"/>
                <w:sz w:val="20"/>
                <w:szCs w:val="20"/>
              </w:rPr>
              <w:t xml:space="preserve"> </w:t>
            </w:r>
            <w:r w:rsidRPr="00EC54F9">
              <w:rPr>
                <w:rFonts w:ascii="Arial Narrow" w:hAnsi="Arial Narrow" w:cs="Tahoma"/>
                <w:sz w:val="20"/>
                <w:szCs w:val="20"/>
              </w:rPr>
              <w:t>projektu zaplanowano</w:t>
            </w:r>
            <w:r>
              <w:rPr>
                <w:rFonts w:ascii="Arial Narrow" w:hAnsi="Arial Narrow" w:cs="Tahoma"/>
                <w:sz w:val="20"/>
                <w:szCs w:val="20"/>
              </w:rPr>
              <w:t xml:space="preserve"> </w:t>
            </w:r>
            <w:r w:rsidRPr="00EC54F9">
              <w:rPr>
                <w:rFonts w:ascii="Arial Narrow" w:hAnsi="Arial Narrow" w:cs="Tahoma"/>
                <w:sz w:val="20"/>
                <w:szCs w:val="20"/>
              </w:rPr>
              <w:t>realizację</w:t>
            </w:r>
            <w:r>
              <w:rPr>
                <w:rFonts w:ascii="Arial Narrow" w:hAnsi="Arial Narrow" w:cs="Tahoma"/>
                <w:sz w:val="20"/>
                <w:szCs w:val="20"/>
              </w:rPr>
              <w:t xml:space="preserve"> </w:t>
            </w:r>
            <w:r w:rsidRPr="00EC54F9">
              <w:rPr>
                <w:rFonts w:ascii="Arial Narrow" w:hAnsi="Arial Narrow" w:cs="Tahoma"/>
                <w:sz w:val="20"/>
                <w:szCs w:val="20"/>
              </w:rPr>
              <w:t>wskaźnika</w:t>
            </w:r>
            <w:r>
              <w:rPr>
                <w:rFonts w:ascii="Arial Narrow" w:hAnsi="Arial Narrow" w:cs="Tahoma"/>
                <w:sz w:val="20"/>
                <w:szCs w:val="20"/>
              </w:rPr>
              <w:t xml:space="preserve"> </w:t>
            </w:r>
            <w:r w:rsidRPr="00EC54F9">
              <w:rPr>
                <w:rFonts w:ascii="Arial Narrow" w:hAnsi="Arial Narrow" w:cs="Tahoma"/>
                <w:sz w:val="20"/>
                <w:szCs w:val="20"/>
              </w:rPr>
              <w:t>z ram wykonania innego</w:t>
            </w:r>
            <w:r>
              <w:rPr>
                <w:rFonts w:ascii="Arial Narrow" w:hAnsi="Arial Narrow" w:cs="Tahoma"/>
                <w:sz w:val="20"/>
                <w:szCs w:val="20"/>
              </w:rPr>
              <w:t xml:space="preserve"> </w:t>
            </w:r>
            <w:r w:rsidRPr="00EC54F9">
              <w:rPr>
                <w:rFonts w:ascii="Arial Narrow" w:hAnsi="Arial Narrow" w:cs="Tahoma"/>
                <w:sz w:val="20"/>
                <w:szCs w:val="20"/>
              </w:rPr>
              <w:t>niż wskaźnik finansowy.</w:t>
            </w:r>
          </w:p>
          <w:p w:rsidR="00EC54F9" w:rsidRPr="00171636" w:rsidRDefault="00EC54F9" w:rsidP="00EC54F9">
            <w:pPr>
              <w:spacing w:after="0" w:line="240" w:lineRule="auto"/>
              <w:jc w:val="both"/>
              <w:rPr>
                <w:rFonts w:ascii="Arial Narrow" w:hAnsi="Arial Narrow" w:cs="Tahoma"/>
                <w:b/>
                <w:sz w:val="20"/>
                <w:szCs w:val="20"/>
              </w:rPr>
            </w:pPr>
            <w:r w:rsidRPr="00171636">
              <w:rPr>
                <w:rFonts w:ascii="Arial Narrow" w:hAnsi="Arial Narrow" w:cs="Tahoma"/>
                <w:b/>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w:t>
            </w:r>
            <w:r>
              <w:rPr>
                <w:rFonts w:ascii="Arial Narrow" w:hAnsi="Arial Narrow" w:cs="Tahoma"/>
                <w:sz w:val="20"/>
                <w:szCs w:val="20"/>
              </w:rPr>
              <w:t xml:space="preserve"> </w:t>
            </w:r>
            <w:r w:rsidRPr="00EC54F9">
              <w:rPr>
                <w:rFonts w:ascii="Arial Narrow" w:hAnsi="Arial Narrow" w:cs="Tahoma"/>
                <w:sz w:val="20"/>
                <w:szCs w:val="20"/>
              </w:rPr>
              <w:t>zakłada realizacji</w:t>
            </w:r>
            <w:r>
              <w:rPr>
                <w:rFonts w:ascii="Arial Narrow" w:hAnsi="Arial Narrow" w:cs="Tahoma"/>
                <w:sz w:val="20"/>
                <w:szCs w:val="20"/>
              </w:rPr>
              <w:t xml:space="preserve"> </w:t>
            </w:r>
            <w:r w:rsidRPr="00EC54F9">
              <w:rPr>
                <w:rFonts w:ascii="Arial Narrow" w:hAnsi="Arial Narrow" w:cs="Tahoma"/>
                <w:sz w:val="20"/>
                <w:szCs w:val="20"/>
              </w:rPr>
              <w:t>wskaźnika/wskaźników z ram wykonania</w:t>
            </w:r>
            <w:r>
              <w:rPr>
                <w:rFonts w:ascii="Arial Narrow" w:hAnsi="Arial Narrow" w:cs="Tahoma"/>
                <w:sz w:val="20"/>
                <w:szCs w:val="20"/>
              </w:rPr>
              <w:t xml:space="preserve">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lastRenderedPageBreak/>
              <w:t>3 pkt -projekt zakłada realizację</w:t>
            </w:r>
            <w:r>
              <w:rPr>
                <w:rFonts w:ascii="Arial Narrow" w:hAnsi="Arial Narrow" w:cs="Tahoma"/>
                <w:sz w:val="20"/>
                <w:szCs w:val="20"/>
              </w:rPr>
              <w:t xml:space="preserve"> </w:t>
            </w:r>
            <w:r w:rsidRPr="00EC54F9">
              <w:rPr>
                <w:rFonts w:ascii="Arial Narrow" w:hAnsi="Arial Narrow" w:cs="Tahoma"/>
                <w:sz w:val="20"/>
                <w:szCs w:val="20"/>
              </w:rPr>
              <w:t>wskaźnika/wskaźników</w:t>
            </w:r>
            <w:r>
              <w:rPr>
                <w:rFonts w:ascii="Arial Narrow" w:hAnsi="Arial Narrow" w:cs="Tahoma"/>
                <w:sz w:val="20"/>
                <w:szCs w:val="20"/>
              </w:rPr>
              <w:t xml:space="preserve"> </w:t>
            </w:r>
            <w:r w:rsidRPr="00EC54F9">
              <w:rPr>
                <w:rFonts w:ascii="Arial Narrow" w:hAnsi="Arial Narrow" w:cs="Tahoma"/>
                <w:sz w:val="20"/>
                <w:szCs w:val="20"/>
              </w:rPr>
              <w:t>z ram wykonania</w:t>
            </w:r>
          </w:p>
        </w:tc>
      </w:tr>
      <w:tr w:rsidR="00F13F3D" w:rsidRPr="00FC147A" w:rsidTr="001F6232">
        <w:trPr>
          <w:trHeight w:val="401"/>
        </w:trPr>
        <w:tc>
          <w:tcPr>
            <w:tcW w:w="4678" w:type="dxa"/>
            <w:gridSpan w:val="4"/>
            <w:shd w:val="clear" w:color="auto" w:fill="BFBFBF"/>
            <w:vAlign w:val="center"/>
          </w:tcPr>
          <w:p w:rsidR="00F13F3D" w:rsidRPr="00FC147A" w:rsidRDefault="00F13F3D" w:rsidP="001F6232">
            <w:pPr>
              <w:spacing w:line="240" w:lineRule="auto"/>
              <w:jc w:val="center"/>
              <w:rPr>
                <w:rFonts w:ascii="Arial Narrow" w:hAnsi="Arial Narrow" w:cs="Tahoma"/>
                <w:b/>
                <w:sz w:val="20"/>
                <w:szCs w:val="20"/>
              </w:rPr>
            </w:pPr>
            <w:r w:rsidRPr="00FC147A">
              <w:rPr>
                <w:rFonts w:ascii="Arial Narrow" w:hAnsi="Arial Narrow" w:cs="Tahoma"/>
                <w:b/>
                <w:sz w:val="20"/>
                <w:szCs w:val="20"/>
              </w:rPr>
              <w:lastRenderedPageBreak/>
              <w:t>RAZEM</w:t>
            </w:r>
          </w:p>
        </w:tc>
        <w:tc>
          <w:tcPr>
            <w:tcW w:w="709" w:type="dxa"/>
            <w:shd w:val="clear" w:color="auto" w:fill="BFBFBF"/>
            <w:vAlign w:val="center"/>
          </w:tcPr>
          <w:p w:rsidR="00F13F3D" w:rsidRPr="00FC147A" w:rsidRDefault="00EC54F9" w:rsidP="001F6232">
            <w:pPr>
              <w:spacing w:line="240" w:lineRule="auto"/>
              <w:jc w:val="center"/>
              <w:rPr>
                <w:rFonts w:ascii="Arial Narrow" w:hAnsi="Arial Narrow" w:cs="Tahoma"/>
                <w:b/>
                <w:sz w:val="20"/>
                <w:szCs w:val="20"/>
              </w:rPr>
            </w:pPr>
            <w:r>
              <w:rPr>
                <w:rFonts w:ascii="Arial Narrow" w:hAnsi="Arial Narrow" w:cs="Tahoma"/>
                <w:b/>
                <w:sz w:val="20"/>
                <w:szCs w:val="20"/>
              </w:rPr>
              <w:t>47</w:t>
            </w:r>
          </w:p>
        </w:tc>
        <w:tc>
          <w:tcPr>
            <w:tcW w:w="8647" w:type="dxa"/>
            <w:shd w:val="clear" w:color="auto" w:fill="BFBFBF"/>
          </w:tcPr>
          <w:p w:rsidR="00F13F3D" w:rsidRPr="00FC147A" w:rsidRDefault="00F13F3D" w:rsidP="001F6232">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bookmarkStart w:id="1" w:name="_GoBack"/>
      <w:bookmarkEnd w:id="1"/>
    </w:p>
    <w:sectPr w:rsidR="00163E65"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65" w:rsidRDefault="00163E65" w:rsidP="00B0093A">
      <w:pPr>
        <w:spacing w:after="0" w:line="240" w:lineRule="auto"/>
      </w:pPr>
      <w:r>
        <w:separator/>
      </w:r>
    </w:p>
  </w:endnote>
  <w:endnote w:type="continuationSeparator" w:id="0">
    <w:p w:rsidR="00163E65" w:rsidRDefault="00163E65"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163E65" w:rsidRDefault="00163E65">
        <w:pPr>
          <w:pStyle w:val="Stopka"/>
          <w:jc w:val="right"/>
        </w:pPr>
        <w:r>
          <w:fldChar w:fldCharType="begin"/>
        </w:r>
        <w:r>
          <w:instrText>PAGE   \* MERGEFORMAT</w:instrText>
        </w:r>
        <w:r>
          <w:fldChar w:fldCharType="separate"/>
        </w:r>
        <w:r w:rsidR="005517CA">
          <w:rPr>
            <w:noProof/>
          </w:rPr>
          <w:t>11</w:t>
        </w:r>
        <w:r>
          <w:fldChar w:fldCharType="end"/>
        </w:r>
      </w:p>
    </w:sdtContent>
  </w:sdt>
  <w:p w:rsidR="00163E65" w:rsidRDefault="00163E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65" w:rsidRDefault="00163E65" w:rsidP="00B0093A">
      <w:pPr>
        <w:spacing w:after="0" w:line="240" w:lineRule="auto"/>
      </w:pPr>
      <w:r>
        <w:separator/>
      </w:r>
    </w:p>
  </w:footnote>
  <w:footnote w:type="continuationSeparator" w:id="0">
    <w:p w:rsidR="00163E65" w:rsidRDefault="00163E65"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8A19FF"/>
    <w:multiLevelType w:val="hybridMultilevel"/>
    <w:tmpl w:val="2C0E5984"/>
    <w:lvl w:ilvl="0" w:tplc="E0D6110A">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1"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5"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2"/>
  </w:num>
  <w:num w:numId="4">
    <w:abstractNumId w:val="39"/>
  </w:num>
  <w:num w:numId="5">
    <w:abstractNumId w:val="33"/>
  </w:num>
  <w:num w:numId="6">
    <w:abstractNumId w:val="31"/>
  </w:num>
  <w:num w:numId="7">
    <w:abstractNumId w:val="21"/>
  </w:num>
  <w:num w:numId="8">
    <w:abstractNumId w:val="15"/>
  </w:num>
  <w:num w:numId="9">
    <w:abstractNumId w:val="20"/>
  </w:num>
  <w:num w:numId="10">
    <w:abstractNumId w:val="10"/>
  </w:num>
  <w:num w:numId="11">
    <w:abstractNumId w:val="44"/>
  </w:num>
  <w:num w:numId="12">
    <w:abstractNumId w:val="19"/>
  </w:num>
  <w:num w:numId="13">
    <w:abstractNumId w:val="32"/>
  </w:num>
  <w:num w:numId="14">
    <w:abstractNumId w:val="36"/>
  </w:num>
  <w:num w:numId="15">
    <w:abstractNumId w:val="4"/>
  </w:num>
  <w:num w:numId="16">
    <w:abstractNumId w:val="2"/>
  </w:num>
  <w:num w:numId="17">
    <w:abstractNumId w:val="1"/>
  </w:num>
  <w:num w:numId="18">
    <w:abstractNumId w:val="28"/>
  </w:num>
  <w:num w:numId="19">
    <w:abstractNumId w:val="46"/>
  </w:num>
  <w:num w:numId="20">
    <w:abstractNumId w:val="11"/>
  </w:num>
  <w:num w:numId="21">
    <w:abstractNumId w:val="24"/>
  </w:num>
  <w:num w:numId="22">
    <w:abstractNumId w:val="40"/>
  </w:num>
  <w:num w:numId="23">
    <w:abstractNumId w:val="18"/>
  </w:num>
  <w:num w:numId="24">
    <w:abstractNumId w:val="34"/>
  </w:num>
  <w:num w:numId="25">
    <w:abstractNumId w:val="6"/>
  </w:num>
  <w:num w:numId="26">
    <w:abstractNumId w:val="27"/>
  </w:num>
  <w:num w:numId="27">
    <w:abstractNumId w:val="13"/>
  </w:num>
  <w:num w:numId="28">
    <w:abstractNumId w:val="14"/>
  </w:num>
  <w:num w:numId="29">
    <w:abstractNumId w:val="3"/>
  </w:num>
  <w:num w:numId="30">
    <w:abstractNumId w:val="9"/>
  </w:num>
  <w:num w:numId="31">
    <w:abstractNumId w:val="16"/>
  </w:num>
  <w:num w:numId="32">
    <w:abstractNumId w:val="43"/>
  </w:num>
  <w:num w:numId="33">
    <w:abstractNumId w:val="25"/>
  </w:num>
  <w:num w:numId="34">
    <w:abstractNumId w:val="38"/>
  </w:num>
  <w:num w:numId="35">
    <w:abstractNumId w:val="41"/>
  </w:num>
  <w:num w:numId="36">
    <w:abstractNumId w:val="2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0"/>
  </w:num>
  <w:num w:numId="41">
    <w:abstractNumId w:val="37"/>
  </w:num>
  <w:num w:numId="42">
    <w:abstractNumId w:val="45"/>
  </w:num>
  <w:num w:numId="43">
    <w:abstractNumId w:val="8"/>
  </w:num>
  <w:num w:numId="44">
    <w:abstractNumId w:val="30"/>
  </w:num>
  <w:num w:numId="45">
    <w:abstractNumId w:val="7"/>
  </w:num>
  <w:num w:numId="46">
    <w:abstractNumId w:val="47"/>
  </w:num>
  <w:num w:numId="47">
    <w:abstractNumId w:val="35"/>
  </w:num>
  <w:num w:numId="48">
    <w:abstractNumId w:val="4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15AE6"/>
    <w:rsid w:val="00016FA7"/>
    <w:rsid w:val="0002319F"/>
    <w:rsid w:val="00024F29"/>
    <w:rsid w:val="000253A5"/>
    <w:rsid w:val="00026AA3"/>
    <w:rsid w:val="0003468E"/>
    <w:rsid w:val="00036A3A"/>
    <w:rsid w:val="00047AD5"/>
    <w:rsid w:val="00047CA5"/>
    <w:rsid w:val="00072056"/>
    <w:rsid w:val="00082F9F"/>
    <w:rsid w:val="00086C94"/>
    <w:rsid w:val="00093C1A"/>
    <w:rsid w:val="000B2FA9"/>
    <w:rsid w:val="000B528A"/>
    <w:rsid w:val="000E2084"/>
    <w:rsid w:val="000E3340"/>
    <w:rsid w:val="000F1A0A"/>
    <w:rsid w:val="000F50BD"/>
    <w:rsid w:val="000F5A04"/>
    <w:rsid w:val="00100E00"/>
    <w:rsid w:val="0010486F"/>
    <w:rsid w:val="00112B51"/>
    <w:rsid w:val="0011551A"/>
    <w:rsid w:val="00115B76"/>
    <w:rsid w:val="00134CFF"/>
    <w:rsid w:val="00135A89"/>
    <w:rsid w:val="00142853"/>
    <w:rsid w:val="001440F1"/>
    <w:rsid w:val="0014777D"/>
    <w:rsid w:val="00163E65"/>
    <w:rsid w:val="001645EA"/>
    <w:rsid w:val="0017129E"/>
    <w:rsid w:val="00171636"/>
    <w:rsid w:val="0017452B"/>
    <w:rsid w:val="0018050C"/>
    <w:rsid w:val="001805FA"/>
    <w:rsid w:val="00187340"/>
    <w:rsid w:val="001A387D"/>
    <w:rsid w:val="001B6A27"/>
    <w:rsid w:val="001C264F"/>
    <w:rsid w:val="001C2A67"/>
    <w:rsid w:val="001C7F88"/>
    <w:rsid w:val="001D19A4"/>
    <w:rsid w:val="001E63F4"/>
    <w:rsid w:val="001F3ECE"/>
    <w:rsid w:val="001F4F5F"/>
    <w:rsid w:val="001F6232"/>
    <w:rsid w:val="002000A6"/>
    <w:rsid w:val="00204F4C"/>
    <w:rsid w:val="002070C5"/>
    <w:rsid w:val="00217EAD"/>
    <w:rsid w:val="00232E5D"/>
    <w:rsid w:val="002356E9"/>
    <w:rsid w:val="002377B0"/>
    <w:rsid w:val="00240C28"/>
    <w:rsid w:val="002424F3"/>
    <w:rsid w:val="0024574F"/>
    <w:rsid w:val="0025484D"/>
    <w:rsid w:val="00263F44"/>
    <w:rsid w:val="002668E1"/>
    <w:rsid w:val="00281269"/>
    <w:rsid w:val="00287D36"/>
    <w:rsid w:val="002A37D7"/>
    <w:rsid w:val="002A57D5"/>
    <w:rsid w:val="002B57C5"/>
    <w:rsid w:val="002B5E29"/>
    <w:rsid w:val="002C0AD7"/>
    <w:rsid w:val="002D27AB"/>
    <w:rsid w:val="002D55E8"/>
    <w:rsid w:val="002E032C"/>
    <w:rsid w:val="002E3BFE"/>
    <w:rsid w:val="00303A0F"/>
    <w:rsid w:val="003062D2"/>
    <w:rsid w:val="003208F4"/>
    <w:rsid w:val="00325A33"/>
    <w:rsid w:val="00325A99"/>
    <w:rsid w:val="0033400A"/>
    <w:rsid w:val="0034006B"/>
    <w:rsid w:val="003451FA"/>
    <w:rsid w:val="003638EE"/>
    <w:rsid w:val="0036535F"/>
    <w:rsid w:val="003745C0"/>
    <w:rsid w:val="003830D5"/>
    <w:rsid w:val="00397A8E"/>
    <w:rsid w:val="003A2A54"/>
    <w:rsid w:val="003B11BD"/>
    <w:rsid w:val="003B357A"/>
    <w:rsid w:val="003C0AA8"/>
    <w:rsid w:val="003C1C16"/>
    <w:rsid w:val="003C773F"/>
    <w:rsid w:val="003D2030"/>
    <w:rsid w:val="003D4CA8"/>
    <w:rsid w:val="003D5B5F"/>
    <w:rsid w:val="003E0BBE"/>
    <w:rsid w:val="003E17AB"/>
    <w:rsid w:val="003E2B19"/>
    <w:rsid w:val="003E3FE6"/>
    <w:rsid w:val="003F07E0"/>
    <w:rsid w:val="003F1723"/>
    <w:rsid w:val="00406535"/>
    <w:rsid w:val="004145C1"/>
    <w:rsid w:val="00423678"/>
    <w:rsid w:val="004343CA"/>
    <w:rsid w:val="004357F4"/>
    <w:rsid w:val="0044468C"/>
    <w:rsid w:val="00445C8C"/>
    <w:rsid w:val="00452D0E"/>
    <w:rsid w:val="00456B06"/>
    <w:rsid w:val="004606F9"/>
    <w:rsid w:val="0046485F"/>
    <w:rsid w:val="00466307"/>
    <w:rsid w:val="00492433"/>
    <w:rsid w:val="00497928"/>
    <w:rsid w:val="004B0EA6"/>
    <w:rsid w:val="004B23AF"/>
    <w:rsid w:val="004B5374"/>
    <w:rsid w:val="004C144D"/>
    <w:rsid w:val="004D0202"/>
    <w:rsid w:val="004E01D8"/>
    <w:rsid w:val="004E52BA"/>
    <w:rsid w:val="00504CA6"/>
    <w:rsid w:val="005050E5"/>
    <w:rsid w:val="00514D16"/>
    <w:rsid w:val="00516115"/>
    <w:rsid w:val="005225B5"/>
    <w:rsid w:val="00523981"/>
    <w:rsid w:val="00534192"/>
    <w:rsid w:val="00540F80"/>
    <w:rsid w:val="00547F80"/>
    <w:rsid w:val="005517CA"/>
    <w:rsid w:val="00552AA8"/>
    <w:rsid w:val="00557D27"/>
    <w:rsid w:val="00562464"/>
    <w:rsid w:val="005809AA"/>
    <w:rsid w:val="00591D11"/>
    <w:rsid w:val="005A21DF"/>
    <w:rsid w:val="005B1739"/>
    <w:rsid w:val="005B2DEE"/>
    <w:rsid w:val="005C00D5"/>
    <w:rsid w:val="005C2329"/>
    <w:rsid w:val="005D6AFA"/>
    <w:rsid w:val="005E176C"/>
    <w:rsid w:val="005E3E6D"/>
    <w:rsid w:val="006027BC"/>
    <w:rsid w:val="006100CE"/>
    <w:rsid w:val="006127B7"/>
    <w:rsid w:val="00612E94"/>
    <w:rsid w:val="00613E98"/>
    <w:rsid w:val="00615152"/>
    <w:rsid w:val="00615980"/>
    <w:rsid w:val="0061611A"/>
    <w:rsid w:val="00624F39"/>
    <w:rsid w:val="006265B2"/>
    <w:rsid w:val="00631C8B"/>
    <w:rsid w:val="00642E2C"/>
    <w:rsid w:val="00652F50"/>
    <w:rsid w:val="006558AE"/>
    <w:rsid w:val="00665D8A"/>
    <w:rsid w:val="00671740"/>
    <w:rsid w:val="00692E6F"/>
    <w:rsid w:val="00696473"/>
    <w:rsid w:val="00696540"/>
    <w:rsid w:val="006A0089"/>
    <w:rsid w:val="006A5EE4"/>
    <w:rsid w:val="006A7594"/>
    <w:rsid w:val="006B49B0"/>
    <w:rsid w:val="006C2ACB"/>
    <w:rsid w:val="006C505A"/>
    <w:rsid w:val="006C60A3"/>
    <w:rsid w:val="006D1FD8"/>
    <w:rsid w:val="006D34B8"/>
    <w:rsid w:val="006E5CF7"/>
    <w:rsid w:val="006F5C28"/>
    <w:rsid w:val="006F5EEE"/>
    <w:rsid w:val="006F6CEB"/>
    <w:rsid w:val="007247CF"/>
    <w:rsid w:val="00733AC5"/>
    <w:rsid w:val="00735D1F"/>
    <w:rsid w:val="007447A7"/>
    <w:rsid w:val="007525B4"/>
    <w:rsid w:val="00760771"/>
    <w:rsid w:val="0076101E"/>
    <w:rsid w:val="00761639"/>
    <w:rsid w:val="007654D3"/>
    <w:rsid w:val="007670B0"/>
    <w:rsid w:val="00772799"/>
    <w:rsid w:val="00777D4D"/>
    <w:rsid w:val="00785E06"/>
    <w:rsid w:val="007A49FC"/>
    <w:rsid w:val="007B3624"/>
    <w:rsid w:val="007B6830"/>
    <w:rsid w:val="007E2702"/>
    <w:rsid w:val="007E51DA"/>
    <w:rsid w:val="007F4EE3"/>
    <w:rsid w:val="0080199C"/>
    <w:rsid w:val="00810AA5"/>
    <w:rsid w:val="0081397A"/>
    <w:rsid w:val="0083399D"/>
    <w:rsid w:val="00842779"/>
    <w:rsid w:val="008433F6"/>
    <w:rsid w:val="00844270"/>
    <w:rsid w:val="00847A80"/>
    <w:rsid w:val="008556BB"/>
    <w:rsid w:val="00857354"/>
    <w:rsid w:val="008614FA"/>
    <w:rsid w:val="00864905"/>
    <w:rsid w:val="0088458A"/>
    <w:rsid w:val="0088584E"/>
    <w:rsid w:val="00886F93"/>
    <w:rsid w:val="00894128"/>
    <w:rsid w:val="00897FF0"/>
    <w:rsid w:val="008B4274"/>
    <w:rsid w:val="008C390C"/>
    <w:rsid w:val="008C553D"/>
    <w:rsid w:val="008C5AB8"/>
    <w:rsid w:val="008D7CA0"/>
    <w:rsid w:val="008E41E7"/>
    <w:rsid w:val="008E7E32"/>
    <w:rsid w:val="008F51D9"/>
    <w:rsid w:val="009220C2"/>
    <w:rsid w:val="00925C7F"/>
    <w:rsid w:val="00927F88"/>
    <w:rsid w:val="00930AC7"/>
    <w:rsid w:val="0093420A"/>
    <w:rsid w:val="009368B1"/>
    <w:rsid w:val="0096126A"/>
    <w:rsid w:val="00974147"/>
    <w:rsid w:val="00977009"/>
    <w:rsid w:val="0098078C"/>
    <w:rsid w:val="00980C25"/>
    <w:rsid w:val="00984A74"/>
    <w:rsid w:val="0099473A"/>
    <w:rsid w:val="00995485"/>
    <w:rsid w:val="009A7E12"/>
    <w:rsid w:val="009B1AB1"/>
    <w:rsid w:val="009B35B4"/>
    <w:rsid w:val="009B5C2B"/>
    <w:rsid w:val="009B63A8"/>
    <w:rsid w:val="009B7050"/>
    <w:rsid w:val="009C5899"/>
    <w:rsid w:val="009C7B5C"/>
    <w:rsid w:val="009D102D"/>
    <w:rsid w:val="009D3E24"/>
    <w:rsid w:val="009D60C1"/>
    <w:rsid w:val="009D7C04"/>
    <w:rsid w:val="009F155A"/>
    <w:rsid w:val="009F6C44"/>
    <w:rsid w:val="009F6E0F"/>
    <w:rsid w:val="009F7B21"/>
    <w:rsid w:val="00A00EA8"/>
    <w:rsid w:val="00A10203"/>
    <w:rsid w:val="00A13473"/>
    <w:rsid w:val="00A211D2"/>
    <w:rsid w:val="00A36DA8"/>
    <w:rsid w:val="00A36FA8"/>
    <w:rsid w:val="00A56AA9"/>
    <w:rsid w:val="00A604D0"/>
    <w:rsid w:val="00A6351C"/>
    <w:rsid w:val="00A66814"/>
    <w:rsid w:val="00A672B2"/>
    <w:rsid w:val="00A70467"/>
    <w:rsid w:val="00A72C86"/>
    <w:rsid w:val="00A774F2"/>
    <w:rsid w:val="00A81595"/>
    <w:rsid w:val="00A8171E"/>
    <w:rsid w:val="00A900D7"/>
    <w:rsid w:val="00A90CE6"/>
    <w:rsid w:val="00A940E1"/>
    <w:rsid w:val="00A97032"/>
    <w:rsid w:val="00AA58D1"/>
    <w:rsid w:val="00AC092A"/>
    <w:rsid w:val="00AD5763"/>
    <w:rsid w:val="00AE54A6"/>
    <w:rsid w:val="00AF1614"/>
    <w:rsid w:val="00AF5EE3"/>
    <w:rsid w:val="00B0093A"/>
    <w:rsid w:val="00B1330A"/>
    <w:rsid w:val="00B21BCA"/>
    <w:rsid w:val="00B24C63"/>
    <w:rsid w:val="00B427F0"/>
    <w:rsid w:val="00B62E85"/>
    <w:rsid w:val="00B658E6"/>
    <w:rsid w:val="00B76746"/>
    <w:rsid w:val="00B8147F"/>
    <w:rsid w:val="00B85730"/>
    <w:rsid w:val="00B9042F"/>
    <w:rsid w:val="00BD0E86"/>
    <w:rsid w:val="00BD1569"/>
    <w:rsid w:val="00BD7121"/>
    <w:rsid w:val="00BE01B2"/>
    <w:rsid w:val="00BF4A66"/>
    <w:rsid w:val="00C11A1F"/>
    <w:rsid w:val="00C14064"/>
    <w:rsid w:val="00C205B7"/>
    <w:rsid w:val="00C2294F"/>
    <w:rsid w:val="00C233E3"/>
    <w:rsid w:val="00C23B57"/>
    <w:rsid w:val="00C32BD5"/>
    <w:rsid w:val="00C431C2"/>
    <w:rsid w:val="00C50FB1"/>
    <w:rsid w:val="00C61D4F"/>
    <w:rsid w:val="00C65FE4"/>
    <w:rsid w:val="00C81BB0"/>
    <w:rsid w:val="00C81C06"/>
    <w:rsid w:val="00C839F7"/>
    <w:rsid w:val="00C87CD4"/>
    <w:rsid w:val="00CA129C"/>
    <w:rsid w:val="00CB1375"/>
    <w:rsid w:val="00CB461F"/>
    <w:rsid w:val="00CB6D44"/>
    <w:rsid w:val="00CC53FF"/>
    <w:rsid w:val="00CD441C"/>
    <w:rsid w:val="00CE1B7D"/>
    <w:rsid w:val="00CF00AC"/>
    <w:rsid w:val="00D0140F"/>
    <w:rsid w:val="00D22D70"/>
    <w:rsid w:val="00D279F9"/>
    <w:rsid w:val="00D30842"/>
    <w:rsid w:val="00D317FF"/>
    <w:rsid w:val="00D3312E"/>
    <w:rsid w:val="00D352CA"/>
    <w:rsid w:val="00D40B18"/>
    <w:rsid w:val="00D4396F"/>
    <w:rsid w:val="00D553FE"/>
    <w:rsid w:val="00D656A0"/>
    <w:rsid w:val="00D83AC4"/>
    <w:rsid w:val="00D9527D"/>
    <w:rsid w:val="00D971B0"/>
    <w:rsid w:val="00DB3FD0"/>
    <w:rsid w:val="00DC453B"/>
    <w:rsid w:val="00DF086A"/>
    <w:rsid w:val="00E00267"/>
    <w:rsid w:val="00E00BCB"/>
    <w:rsid w:val="00E07A08"/>
    <w:rsid w:val="00E105FA"/>
    <w:rsid w:val="00E10631"/>
    <w:rsid w:val="00E13A7F"/>
    <w:rsid w:val="00E271CF"/>
    <w:rsid w:val="00E275FB"/>
    <w:rsid w:val="00E31AA5"/>
    <w:rsid w:val="00E33E76"/>
    <w:rsid w:val="00E35B50"/>
    <w:rsid w:val="00E434DD"/>
    <w:rsid w:val="00E5263E"/>
    <w:rsid w:val="00E61D6C"/>
    <w:rsid w:val="00E70A7E"/>
    <w:rsid w:val="00E7434A"/>
    <w:rsid w:val="00E76991"/>
    <w:rsid w:val="00E85E7B"/>
    <w:rsid w:val="00E862E1"/>
    <w:rsid w:val="00E87839"/>
    <w:rsid w:val="00EA44AD"/>
    <w:rsid w:val="00EB02A3"/>
    <w:rsid w:val="00EB7DFF"/>
    <w:rsid w:val="00EC4123"/>
    <w:rsid w:val="00EC54F9"/>
    <w:rsid w:val="00EC7BDF"/>
    <w:rsid w:val="00EC7F7B"/>
    <w:rsid w:val="00ED1A07"/>
    <w:rsid w:val="00ED2EAE"/>
    <w:rsid w:val="00ED3C6F"/>
    <w:rsid w:val="00ED6BEA"/>
    <w:rsid w:val="00EE3BAA"/>
    <w:rsid w:val="00EE4175"/>
    <w:rsid w:val="00EF2659"/>
    <w:rsid w:val="00F013B3"/>
    <w:rsid w:val="00F120EC"/>
    <w:rsid w:val="00F13082"/>
    <w:rsid w:val="00F13F3D"/>
    <w:rsid w:val="00F175C0"/>
    <w:rsid w:val="00F2289F"/>
    <w:rsid w:val="00F31EEA"/>
    <w:rsid w:val="00F34964"/>
    <w:rsid w:val="00F45B3F"/>
    <w:rsid w:val="00F562E8"/>
    <w:rsid w:val="00F6317F"/>
    <w:rsid w:val="00F67A9C"/>
    <w:rsid w:val="00F8656C"/>
    <w:rsid w:val="00F875F9"/>
    <w:rsid w:val="00F96EB3"/>
    <w:rsid w:val="00FA093B"/>
    <w:rsid w:val="00FA247F"/>
    <w:rsid w:val="00FA2F7F"/>
    <w:rsid w:val="00FB1E80"/>
    <w:rsid w:val="00FC147A"/>
    <w:rsid w:val="00FC170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F895"/>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FEAC-34D4-4D01-BFB0-F7FFCFCA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6602</Words>
  <Characters>39616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Monika Lirka</cp:lastModifiedBy>
  <cp:revision>61</cp:revision>
  <cp:lastPrinted>2021-10-20T12:10:00Z</cp:lastPrinted>
  <dcterms:created xsi:type="dcterms:W3CDTF">2019-09-02T09:12:00Z</dcterms:created>
  <dcterms:modified xsi:type="dcterms:W3CDTF">2021-11-04T09:03:00Z</dcterms:modified>
</cp:coreProperties>
</file>